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5A304" w14:textId="77777777" w:rsidR="000B41D2" w:rsidRDefault="000B41D2" w:rsidP="000B41D2">
      <w:pPr>
        <w:shd w:val="clear" w:color="auto" w:fill="FFFFFF"/>
        <w:spacing w:after="0" w:line="240" w:lineRule="auto"/>
        <w:jc w:val="center"/>
        <w:outlineLvl w:val="0"/>
        <w:rPr>
          <w:rFonts w:ascii="Arial" w:eastAsia="Times New Roman" w:hAnsi="Arial" w:cs="Arial"/>
          <w:kern w:val="36"/>
          <w:sz w:val="36"/>
          <w:szCs w:val="36"/>
          <w:lang w:eastAsia="en-GB"/>
        </w:rPr>
      </w:pPr>
    </w:p>
    <w:p w14:paraId="2A9BC8A4" w14:textId="77777777" w:rsidR="00AA1B08" w:rsidRPr="000B41D2" w:rsidRDefault="001F0B62" w:rsidP="000B41D2">
      <w:pPr>
        <w:shd w:val="clear" w:color="auto" w:fill="FFFFFF"/>
        <w:spacing w:after="0" w:line="240" w:lineRule="auto"/>
        <w:jc w:val="center"/>
        <w:outlineLvl w:val="0"/>
        <w:rPr>
          <w:rFonts w:ascii="Arial" w:eastAsia="Times New Roman" w:hAnsi="Arial" w:cs="Arial"/>
          <w:kern w:val="36"/>
          <w:sz w:val="36"/>
          <w:szCs w:val="36"/>
          <w:lang w:eastAsia="en-GB"/>
        </w:rPr>
      </w:pPr>
      <w:r w:rsidRPr="000B41D2">
        <w:rPr>
          <w:rFonts w:ascii="Arial" w:eastAsia="Times New Roman" w:hAnsi="Arial" w:cs="Arial"/>
          <w:kern w:val="36"/>
          <w:sz w:val="36"/>
          <w:szCs w:val="36"/>
          <w:lang w:eastAsia="en-GB"/>
        </w:rPr>
        <w:t>Admissions Complaints</w:t>
      </w:r>
      <w:r w:rsidR="00444252" w:rsidRPr="000B41D2">
        <w:rPr>
          <w:rFonts w:ascii="Arial" w:eastAsia="Times New Roman" w:hAnsi="Arial" w:cs="Arial"/>
          <w:kern w:val="36"/>
          <w:sz w:val="36"/>
          <w:szCs w:val="36"/>
          <w:lang w:eastAsia="en-GB"/>
        </w:rPr>
        <w:t>- Common Awards Programmes</w:t>
      </w:r>
      <w:r w:rsidR="00AA1B08" w:rsidRPr="000B41D2">
        <w:rPr>
          <w:rFonts w:ascii="Arial" w:eastAsia="Times New Roman" w:hAnsi="Arial" w:cs="Arial"/>
          <w:kern w:val="36"/>
          <w:sz w:val="36"/>
          <w:szCs w:val="36"/>
          <w:lang w:eastAsia="en-GB"/>
        </w:rPr>
        <w:t xml:space="preserve"> </w:t>
      </w:r>
      <w:r w:rsidR="000B41D2" w:rsidRPr="000B41D2">
        <w:rPr>
          <w:rFonts w:ascii="Arial" w:eastAsia="Times New Roman" w:hAnsi="Arial" w:cs="Arial"/>
          <w:kern w:val="36"/>
          <w:sz w:val="36"/>
          <w:szCs w:val="36"/>
          <w:lang w:eastAsia="en-GB"/>
        </w:rPr>
        <w:t>(Validated by Durham University)</w:t>
      </w:r>
    </w:p>
    <w:p w14:paraId="356CFC8B" w14:textId="77777777" w:rsidR="000B41D2" w:rsidRPr="000B41D2" w:rsidRDefault="000B41D2" w:rsidP="00AA1B08">
      <w:pPr>
        <w:shd w:val="clear" w:color="auto" w:fill="FFFFFF"/>
        <w:spacing w:after="0" w:line="240" w:lineRule="auto"/>
        <w:outlineLvl w:val="0"/>
        <w:rPr>
          <w:rFonts w:ascii="Arial" w:eastAsia="Times New Roman" w:hAnsi="Arial" w:cs="Arial"/>
          <w:kern w:val="36"/>
          <w:sz w:val="36"/>
          <w:szCs w:val="36"/>
          <w:lang w:eastAsia="en-GB"/>
        </w:rPr>
      </w:pPr>
    </w:p>
    <w:p w14:paraId="3121267B" w14:textId="77777777" w:rsidR="001F0B62" w:rsidRPr="000B41D2" w:rsidRDefault="001F0B62" w:rsidP="00AA1B08">
      <w:pPr>
        <w:pStyle w:val="ListParagraph"/>
        <w:numPr>
          <w:ilvl w:val="0"/>
          <w:numId w:val="1"/>
        </w:numPr>
        <w:spacing w:after="0" w:line="240" w:lineRule="auto"/>
        <w:outlineLvl w:val="2"/>
        <w:rPr>
          <w:rFonts w:ascii="Arial" w:eastAsia="Times New Roman" w:hAnsi="Arial" w:cs="Arial"/>
          <w:b/>
          <w:sz w:val="27"/>
          <w:szCs w:val="27"/>
          <w:lang w:eastAsia="en-GB"/>
        </w:rPr>
      </w:pPr>
      <w:r w:rsidRPr="000B41D2">
        <w:rPr>
          <w:rFonts w:ascii="Arial" w:eastAsia="Times New Roman" w:hAnsi="Arial" w:cs="Arial"/>
          <w:b/>
          <w:sz w:val="27"/>
          <w:szCs w:val="27"/>
          <w:lang w:eastAsia="en-GB"/>
        </w:rPr>
        <w:t>Definitions</w:t>
      </w:r>
    </w:p>
    <w:p w14:paraId="5FCE092F" w14:textId="77777777" w:rsidR="001F0B62" w:rsidRPr="00F15F33" w:rsidRDefault="001F0B62" w:rsidP="00F15F33">
      <w:pPr>
        <w:shd w:val="clear" w:color="auto" w:fill="FFFFFF"/>
        <w:spacing w:after="0" w:line="240" w:lineRule="auto"/>
        <w:ind w:left="426"/>
        <w:rPr>
          <w:rFonts w:ascii="Arial" w:eastAsia="Times New Roman" w:hAnsi="Arial" w:cs="Arial"/>
          <w:lang w:eastAsia="en-GB"/>
        </w:rPr>
      </w:pPr>
      <w:r w:rsidRPr="00F15F33">
        <w:rPr>
          <w:rFonts w:ascii="Arial" w:eastAsia="Times New Roman" w:hAnsi="Arial" w:cs="Arial"/>
          <w:lang w:eastAsia="en-GB"/>
        </w:rPr>
        <w:t>This guidance relates to </w:t>
      </w:r>
      <w:r w:rsidRPr="00F15F33">
        <w:rPr>
          <w:rFonts w:ascii="Arial" w:eastAsia="Times New Roman" w:hAnsi="Arial" w:cs="Arial"/>
          <w:b/>
          <w:bCs/>
          <w:lang w:eastAsia="en-GB"/>
        </w:rPr>
        <w:t>admissions</w:t>
      </w:r>
      <w:r w:rsidRPr="00F15F33">
        <w:rPr>
          <w:rFonts w:ascii="Arial" w:eastAsia="Times New Roman" w:hAnsi="Arial" w:cs="Arial"/>
          <w:lang w:eastAsia="en-GB"/>
        </w:rPr>
        <w:t> complaints only</w:t>
      </w:r>
      <w:r w:rsidR="000B41D2" w:rsidRPr="00F15F33">
        <w:rPr>
          <w:rFonts w:ascii="Arial" w:eastAsia="Times New Roman" w:hAnsi="Arial" w:cs="Arial"/>
          <w:lang w:eastAsia="en-GB"/>
        </w:rPr>
        <w:t xml:space="preserve"> relating to admission to any Common Awards academic programme delivered by Queen’s Foundation, Birmingham</w:t>
      </w:r>
      <w:r w:rsidRPr="00F15F33">
        <w:rPr>
          <w:rFonts w:ascii="Arial" w:eastAsia="Times New Roman" w:hAnsi="Arial" w:cs="Arial"/>
          <w:lang w:eastAsia="en-GB"/>
        </w:rPr>
        <w:t>. The term ‘</w:t>
      </w:r>
      <w:r w:rsidRPr="00F15F33">
        <w:rPr>
          <w:rFonts w:ascii="Arial" w:eastAsia="Times New Roman" w:hAnsi="Arial" w:cs="Arial"/>
          <w:b/>
          <w:bCs/>
          <w:lang w:eastAsia="en-GB"/>
        </w:rPr>
        <w:t>admissions complaint</w:t>
      </w:r>
      <w:r w:rsidRPr="00F15F33">
        <w:rPr>
          <w:rFonts w:ascii="Arial" w:eastAsia="Times New Roman" w:hAnsi="Arial" w:cs="Arial"/>
          <w:lang w:eastAsia="en-GB"/>
        </w:rPr>
        <w:t>’ is used to describe a specific concern regarding a procedural error, irregularity or mal-administration in admissions policies or procedures. </w:t>
      </w:r>
    </w:p>
    <w:p w14:paraId="7E433B5E" w14:textId="77777777" w:rsidR="00AA1B08" w:rsidRPr="00F15F33" w:rsidRDefault="00AA1B08" w:rsidP="00F15F33">
      <w:pPr>
        <w:shd w:val="clear" w:color="auto" w:fill="FFFFFF"/>
        <w:spacing w:after="0" w:line="240" w:lineRule="auto"/>
        <w:ind w:left="426"/>
        <w:rPr>
          <w:rFonts w:ascii="Arial" w:eastAsia="Times New Roman" w:hAnsi="Arial" w:cs="Arial"/>
          <w:lang w:eastAsia="en-GB"/>
        </w:rPr>
      </w:pPr>
    </w:p>
    <w:p w14:paraId="7449898B" w14:textId="22C5AE82" w:rsidR="001F0B62" w:rsidRPr="00F15F33" w:rsidRDefault="001F0B62" w:rsidP="00F15F33">
      <w:pPr>
        <w:shd w:val="clear" w:color="auto" w:fill="FFFFFF"/>
        <w:spacing w:after="0" w:line="240" w:lineRule="auto"/>
        <w:ind w:left="426"/>
        <w:rPr>
          <w:rFonts w:ascii="Arial" w:eastAsia="Times New Roman" w:hAnsi="Arial" w:cs="Arial"/>
          <w:lang w:eastAsia="en-GB"/>
        </w:rPr>
      </w:pPr>
      <w:r w:rsidRPr="00F15F33">
        <w:rPr>
          <w:rFonts w:ascii="Arial" w:eastAsia="Times New Roman" w:hAnsi="Arial" w:cs="Arial"/>
          <w:lang w:eastAsia="en-GB"/>
        </w:rPr>
        <w:t xml:space="preserve">Durham University </w:t>
      </w:r>
      <w:r w:rsidR="000B41D2" w:rsidRPr="00F15F33">
        <w:rPr>
          <w:rFonts w:ascii="Arial" w:eastAsia="Times New Roman" w:hAnsi="Arial" w:cs="Arial"/>
          <w:lang w:eastAsia="en-GB"/>
        </w:rPr>
        <w:t>and Queen’s Foundation do</w:t>
      </w:r>
      <w:r w:rsidRPr="00F15F33">
        <w:rPr>
          <w:rFonts w:ascii="Arial" w:eastAsia="Times New Roman" w:hAnsi="Arial" w:cs="Arial"/>
          <w:lang w:eastAsia="en-GB"/>
        </w:rPr>
        <w:t xml:space="preserve"> not permit </w:t>
      </w:r>
      <w:r w:rsidRPr="00F15F33">
        <w:rPr>
          <w:rFonts w:ascii="Arial" w:eastAsia="Times New Roman" w:hAnsi="Arial" w:cs="Arial"/>
          <w:b/>
          <w:lang w:eastAsia="en-GB"/>
        </w:rPr>
        <w:t>admissions appeals</w:t>
      </w:r>
      <w:r w:rsidR="00444252" w:rsidRPr="00F15F33">
        <w:rPr>
          <w:rFonts w:ascii="Arial" w:eastAsia="Times New Roman" w:hAnsi="Arial" w:cs="Arial"/>
          <w:lang w:eastAsia="en-GB"/>
        </w:rPr>
        <w:t xml:space="preserve"> (an appeal against an admissions decision outcome)</w:t>
      </w:r>
      <w:r w:rsidR="00342BE0">
        <w:rPr>
          <w:rFonts w:ascii="Arial" w:eastAsia="Times New Roman" w:hAnsi="Arial" w:cs="Arial"/>
          <w:lang w:eastAsia="en-GB"/>
        </w:rPr>
        <w:t>;</w:t>
      </w:r>
      <w:r w:rsidRPr="00F15F33">
        <w:rPr>
          <w:rFonts w:ascii="Arial" w:eastAsia="Times New Roman" w:hAnsi="Arial" w:cs="Arial"/>
          <w:lang w:eastAsia="en-GB"/>
        </w:rPr>
        <w:t xml:space="preserve"> this guidance relates to admissions complaints only.</w:t>
      </w:r>
    </w:p>
    <w:p w14:paraId="442E9833" w14:textId="77777777" w:rsidR="00AA1B08" w:rsidRPr="000B41D2" w:rsidRDefault="00AA1B08" w:rsidP="00AA1B08">
      <w:pPr>
        <w:shd w:val="clear" w:color="auto" w:fill="FFFFFF"/>
        <w:spacing w:after="0" w:line="240" w:lineRule="auto"/>
        <w:rPr>
          <w:rFonts w:ascii="Arial" w:eastAsia="Times New Roman" w:hAnsi="Arial" w:cs="Arial"/>
          <w:sz w:val="21"/>
          <w:szCs w:val="21"/>
          <w:lang w:eastAsia="en-GB"/>
        </w:rPr>
      </w:pPr>
    </w:p>
    <w:p w14:paraId="4A91BC5C" w14:textId="77777777" w:rsidR="00516260" w:rsidRPr="000B41D2" w:rsidRDefault="00516260" w:rsidP="00AA1B08">
      <w:pPr>
        <w:pStyle w:val="ListParagraph"/>
        <w:numPr>
          <w:ilvl w:val="0"/>
          <w:numId w:val="1"/>
        </w:numPr>
        <w:shd w:val="clear" w:color="auto" w:fill="FFFFFF"/>
        <w:spacing w:after="0" w:line="240" w:lineRule="auto"/>
        <w:rPr>
          <w:rFonts w:ascii="Arial" w:eastAsia="Times New Roman" w:hAnsi="Arial" w:cs="Arial"/>
          <w:b/>
          <w:sz w:val="27"/>
          <w:szCs w:val="27"/>
          <w:lang w:eastAsia="en-GB"/>
        </w:rPr>
      </w:pPr>
      <w:r w:rsidRPr="000B41D2">
        <w:rPr>
          <w:rFonts w:ascii="Arial" w:eastAsia="Times New Roman" w:hAnsi="Arial" w:cs="Arial"/>
          <w:b/>
          <w:sz w:val="27"/>
          <w:szCs w:val="27"/>
          <w:lang w:eastAsia="en-GB"/>
        </w:rPr>
        <w:t>References</w:t>
      </w:r>
    </w:p>
    <w:p w14:paraId="53F3FB79" w14:textId="77777777" w:rsidR="00516260" w:rsidRPr="00F15F33" w:rsidRDefault="00516260" w:rsidP="00F15F33">
      <w:pPr>
        <w:pStyle w:val="ListParagraph"/>
        <w:numPr>
          <w:ilvl w:val="0"/>
          <w:numId w:val="2"/>
        </w:numPr>
        <w:shd w:val="clear" w:color="auto" w:fill="FFFFFF"/>
        <w:spacing w:after="0" w:line="240" w:lineRule="auto"/>
        <w:rPr>
          <w:rFonts w:ascii="Arial" w:eastAsia="Times New Roman" w:hAnsi="Arial" w:cs="Arial"/>
          <w:lang w:eastAsia="en-GB"/>
        </w:rPr>
      </w:pPr>
      <w:r w:rsidRPr="00F15F33">
        <w:rPr>
          <w:rFonts w:ascii="Arial" w:eastAsia="Times New Roman" w:hAnsi="Arial" w:cs="Arial"/>
          <w:lang w:eastAsia="en-GB"/>
        </w:rPr>
        <w:t>UK Quality Code for Higher Education Chapter B2, Recruitment, Selection and Admission to Higher Education</w:t>
      </w:r>
      <w:r w:rsidR="000B41D2" w:rsidRPr="00F15F33">
        <w:rPr>
          <w:rFonts w:ascii="Arial" w:eastAsia="Times New Roman" w:hAnsi="Arial" w:cs="Arial"/>
          <w:lang w:eastAsia="en-GB"/>
        </w:rPr>
        <w:t>.</w:t>
      </w:r>
    </w:p>
    <w:p w14:paraId="520339EE" w14:textId="77777777" w:rsidR="00AA1B08" w:rsidRPr="00F15F33" w:rsidRDefault="00AA1B08" w:rsidP="00AA1B08">
      <w:pPr>
        <w:shd w:val="clear" w:color="auto" w:fill="FFFFFF"/>
        <w:spacing w:after="0" w:line="240" w:lineRule="auto"/>
        <w:rPr>
          <w:rFonts w:ascii="Arial" w:eastAsia="Times New Roman" w:hAnsi="Arial" w:cs="Arial"/>
          <w:lang w:eastAsia="en-GB"/>
        </w:rPr>
      </w:pPr>
    </w:p>
    <w:p w14:paraId="60D24BA8" w14:textId="77777777" w:rsidR="000B41D2" w:rsidRPr="00F15F33" w:rsidRDefault="000B41D2" w:rsidP="00F15F33">
      <w:pPr>
        <w:pStyle w:val="ListParagraph"/>
        <w:numPr>
          <w:ilvl w:val="0"/>
          <w:numId w:val="2"/>
        </w:numPr>
        <w:shd w:val="clear" w:color="auto" w:fill="FFFFFF"/>
        <w:spacing w:after="0" w:line="240" w:lineRule="auto"/>
        <w:rPr>
          <w:rFonts w:ascii="Arial" w:eastAsia="Times New Roman" w:hAnsi="Arial" w:cs="Arial"/>
          <w:lang w:eastAsia="en-GB"/>
        </w:rPr>
      </w:pPr>
      <w:r w:rsidRPr="00F15F33">
        <w:rPr>
          <w:rFonts w:ascii="Arial" w:eastAsia="Times New Roman" w:hAnsi="Arial" w:cs="Arial"/>
          <w:lang w:eastAsia="en-GB"/>
        </w:rPr>
        <w:t xml:space="preserve">Queen’s Foundation Admissions Policy and </w:t>
      </w:r>
      <w:r w:rsidR="00F15F33" w:rsidRPr="00F15F33">
        <w:rPr>
          <w:rFonts w:ascii="Arial" w:eastAsia="Times New Roman" w:hAnsi="Arial" w:cs="Arial"/>
          <w:lang w:eastAsia="en-GB"/>
        </w:rPr>
        <w:t xml:space="preserve">Accreditation of </w:t>
      </w:r>
      <w:r w:rsidRPr="00F15F33">
        <w:rPr>
          <w:rFonts w:ascii="Arial" w:eastAsia="Times New Roman" w:hAnsi="Arial" w:cs="Arial"/>
          <w:lang w:eastAsia="en-GB"/>
        </w:rPr>
        <w:t>P</w:t>
      </w:r>
      <w:r w:rsidR="00F15F33" w:rsidRPr="00F15F33">
        <w:rPr>
          <w:rFonts w:ascii="Arial" w:eastAsia="Times New Roman" w:hAnsi="Arial" w:cs="Arial"/>
          <w:lang w:eastAsia="en-GB"/>
        </w:rPr>
        <w:t xml:space="preserve">rior </w:t>
      </w:r>
      <w:r w:rsidRPr="00F15F33">
        <w:rPr>
          <w:rFonts w:ascii="Arial" w:eastAsia="Times New Roman" w:hAnsi="Arial" w:cs="Arial"/>
          <w:lang w:eastAsia="en-GB"/>
        </w:rPr>
        <w:t>L</w:t>
      </w:r>
      <w:r w:rsidR="00F15F33" w:rsidRPr="00F15F33">
        <w:rPr>
          <w:rFonts w:ascii="Arial" w:eastAsia="Times New Roman" w:hAnsi="Arial" w:cs="Arial"/>
          <w:lang w:eastAsia="en-GB"/>
        </w:rPr>
        <w:t>earning</w:t>
      </w:r>
      <w:r w:rsidRPr="00F15F33">
        <w:rPr>
          <w:rFonts w:ascii="Arial" w:eastAsia="Times New Roman" w:hAnsi="Arial" w:cs="Arial"/>
          <w:lang w:eastAsia="en-GB"/>
        </w:rPr>
        <w:t xml:space="preserve"> </w:t>
      </w:r>
      <w:r w:rsidR="00F15F33" w:rsidRPr="00F15F33">
        <w:rPr>
          <w:rFonts w:ascii="Arial" w:eastAsia="Times New Roman" w:hAnsi="Arial" w:cs="Arial"/>
          <w:lang w:eastAsia="en-GB"/>
        </w:rPr>
        <w:t>(APL) Policies</w:t>
      </w:r>
      <w:r w:rsidRPr="00F15F33">
        <w:rPr>
          <w:rFonts w:ascii="Arial" w:eastAsia="Times New Roman" w:hAnsi="Arial" w:cs="Arial"/>
          <w:lang w:eastAsia="en-GB"/>
        </w:rPr>
        <w:t>.</w:t>
      </w:r>
    </w:p>
    <w:p w14:paraId="7EAD50F5" w14:textId="77777777" w:rsidR="000B41D2" w:rsidRPr="00F15F33" w:rsidRDefault="000B41D2" w:rsidP="000B41D2">
      <w:pPr>
        <w:shd w:val="clear" w:color="auto" w:fill="FFFFFF"/>
        <w:spacing w:after="0" w:line="240" w:lineRule="auto"/>
        <w:rPr>
          <w:rFonts w:ascii="Arial" w:eastAsia="Times New Roman" w:hAnsi="Arial" w:cs="Arial"/>
          <w:lang w:eastAsia="en-GB"/>
        </w:rPr>
      </w:pPr>
    </w:p>
    <w:p w14:paraId="5A07BA8B" w14:textId="495E10F3" w:rsidR="000B41D2" w:rsidRPr="00F15F33" w:rsidRDefault="000B41D2" w:rsidP="00AA1B08">
      <w:pPr>
        <w:pStyle w:val="ListParagraph"/>
        <w:numPr>
          <w:ilvl w:val="0"/>
          <w:numId w:val="2"/>
        </w:numPr>
        <w:shd w:val="clear" w:color="auto" w:fill="FFFFFF"/>
        <w:spacing w:after="0" w:line="240" w:lineRule="auto"/>
        <w:rPr>
          <w:rFonts w:ascii="Arial" w:eastAsia="Times New Roman" w:hAnsi="Arial" w:cs="Arial"/>
          <w:lang w:eastAsia="en-GB"/>
        </w:rPr>
      </w:pPr>
      <w:r w:rsidRPr="00F15F33">
        <w:rPr>
          <w:rFonts w:ascii="Arial" w:eastAsia="Times New Roman" w:hAnsi="Arial" w:cs="Arial"/>
          <w:lang w:eastAsia="en-GB"/>
        </w:rPr>
        <w:t>Durham</w:t>
      </w:r>
      <w:r w:rsidR="00342BE0">
        <w:rPr>
          <w:rFonts w:ascii="Arial" w:eastAsia="Times New Roman" w:hAnsi="Arial" w:cs="Arial"/>
          <w:lang w:eastAsia="en-GB"/>
        </w:rPr>
        <w:t xml:space="preserve"> University</w:t>
      </w:r>
      <w:r w:rsidRPr="00F15F33">
        <w:rPr>
          <w:rFonts w:ascii="Arial" w:eastAsia="Times New Roman" w:hAnsi="Arial" w:cs="Arial"/>
          <w:lang w:eastAsia="en-GB"/>
        </w:rPr>
        <w:t xml:space="preserve"> regulation</w:t>
      </w:r>
      <w:r w:rsidR="004F299F">
        <w:rPr>
          <w:rFonts w:ascii="Arial" w:eastAsia="Times New Roman" w:hAnsi="Arial" w:cs="Arial"/>
          <w:lang w:eastAsia="en-GB"/>
        </w:rPr>
        <w:t xml:space="preserve">s on Admissions: </w:t>
      </w:r>
      <w:hyperlink r:id="rId7" w:history="1">
        <w:r w:rsidR="004F299F" w:rsidRPr="00BB7974">
          <w:rPr>
            <w:rStyle w:val="Hyperlink"/>
            <w:rFonts w:ascii="Arial" w:eastAsia="Times New Roman" w:hAnsi="Arial" w:cs="Arial"/>
            <w:lang w:eastAsia="en-GB"/>
          </w:rPr>
          <w:t>https://www.durham.ac.uk/study/admissions-policy/</w:t>
        </w:r>
      </w:hyperlink>
      <w:r w:rsidR="004F299F">
        <w:rPr>
          <w:rFonts w:ascii="Arial" w:eastAsia="Times New Roman" w:hAnsi="Arial" w:cs="Arial"/>
          <w:lang w:eastAsia="en-GB"/>
        </w:rPr>
        <w:t xml:space="preserve"> </w:t>
      </w:r>
      <w:r w:rsidRPr="00F15F33">
        <w:rPr>
          <w:rFonts w:ascii="Arial" w:eastAsia="Times New Roman" w:hAnsi="Arial" w:cs="Arial"/>
          <w:lang w:eastAsia="en-GB"/>
        </w:rPr>
        <w:t> </w:t>
      </w:r>
    </w:p>
    <w:p w14:paraId="758C43EE" w14:textId="77777777" w:rsidR="000B41D2" w:rsidRPr="000B41D2" w:rsidRDefault="000B41D2" w:rsidP="00AA1B08">
      <w:pPr>
        <w:shd w:val="clear" w:color="auto" w:fill="FFFFFF"/>
        <w:spacing w:after="0" w:line="240" w:lineRule="auto"/>
        <w:rPr>
          <w:rFonts w:ascii="Arial" w:eastAsia="Times New Roman" w:hAnsi="Arial" w:cs="Arial"/>
          <w:lang w:eastAsia="en-GB"/>
        </w:rPr>
      </w:pPr>
    </w:p>
    <w:p w14:paraId="2116EEB5" w14:textId="77777777" w:rsidR="001F0B62" w:rsidRPr="000B41D2" w:rsidRDefault="00516260" w:rsidP="00AA1B08">
      <w:pPr>
        <w:pStyle w:val="ListParagraph"/>
        <w:numPr>
          <w:ilvl w:val="0"/>
          <w:numId w:val="1"/>
        </w:numPr>
        <w:shd w:val="clear" w:color="auto" w:fill="FFFFFF"/>
        <w:spacing w:after="0" w:line="240" w:lineRule="auto"/>
        <w:rPr>
          <w:rFonts w:ascii="Arial" w:eastAsia="Times New Roman" w:hAnsi="Arial" w:cs="Arial"/>
          <w:b/>
          <w:sz w:val="27"/>
          <w:szCs w:val="27"/>
          <w:lang w:eastAsia="en-GB"/>
        </w:rPr>
      </w:pPr>
      <w:r w:rsidRPr="000B41D2">
        <w:rPr>
          <w:rFonts w:ascii="Arial" w:eastAsia="Times New Roman" w:hAnsi="Arial" w:cs="Arial"/>
          <w:b/>
          <w:sz w:val="27"/>
          <w:szCs w:val="27"/>
          <w:lang w:eastAsia="en-GB"/>
        </w:rPr>
        <w:t>Stages of the Process:</w:t>
      </w:r>
    </w:p>
    <w:p w14:paraId="07D0694D" w14:textId="77777777" w:rsidR="00AA1B08" w:rsidRPr="000B41D2" w:rsidRDefault="00AA1B08" w:rsidP="000B41D2">
      <w:pPr>
        <w:pStyle w:val="ListParagraph"/>
        <w:shd w:val="clear" w:color="auto" w:fill="FFFFFF"/>
        <w:spacing w:after="0" w:line="240" w:lineRule="auto"/>
        <w:rPr>
          <w:rFonts w:ascii="Arial" w:eastAsia="Times New Roman" w:hAnsi="Arial" w:cs="Arial"/>
          <w:b/>
          <w:sz w:val="27"/>
          <w:szCs w:val="27"/>
          <w:lang w:eastAsia="en-GB"/>
        </w:rPr>
      </w:pPr>
    </w:p>
    <w:tbl>
      <w:tblPr>
        <w:tblW w:w="9998" w:type="dxa"/>
        <w:tblCellSpacing w:w="15" w:type="dxa"/>
        <w:tblBorders>
          <w:top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9742"/>
        <w:gridCol w:w="62"/>
        <w:gridCol w:w="194"/>
      </w:tblGrid>
      <w:tr w:rsidR="001F0B62" w:rsidRPr="000B41D2" w14:paraId="662CA466" w14:textId="77777777" w:rsidTr="00F15F33">
        <w:trPr>
          <w:gridAfter w:val="2"/>
          <w:wAfter w:w="211" w:type="dxa"/>
          <w:tblCellSpacing w:w="15" w:type="dxa"/>
        </w:trPr>
        <w:tc>
          <w:tcPr>
            <w:tcW w:w="9697" w:type="dxa"/>
            <w:tcBorders>
              <w:top w:val="single" w:sz="6" w:space="0" w:color="DDDDDD"/>
              <w:left w:val="single" w:sz="6" w:space="0" w:color="DDDDDD"/>
              <w:bottom w:val="single" w:sz="6" w:space="0" w:color="DDDDDD"/>
            </w:tcBorders>
            <w:shd w:val="clear" w:color="auto" w:fill="FFFFFF" w:themeFill="background1"/>
            <w:tcMar>
              <w:top w:w="120" w:type="dxa"/>
              <w:left w:w="120" w:type="dxa"/>
              <w:bottom w:w="120" w:type="dxa"/>
              <w:right w:w="120" w:type="dxa"/>
            </w:tcMar>
            <w:hideMark/>
          </w:tcPr>
          <w:p w14:paraId="616476C1" w14:textId="77777777" w:rsidR="001F0B62" w:rsidRPr="000B41D2" w:rsidRDefault="001F0B62" w:rsidP="000B41D2">
            <w:pPr>
              <w:spacing w:after="0" w:line="240" w:lineRule="auto"/>
              <w:jc w:val="center"/>
              <w:divId w:val="1087772501"/>
              <w:rPr>
                <w:rFonts w:ascii="Arial" w:eastAsia="Times New Roman" w:hAnsi="Arial" w:cs="Arial"/>
                <w:sz w:val="24"/>
                <w:szCs w:val="24"/>
                <w:lang w:eastAsia="en-GB"/>
              </w:rPr>
            </w:pPr>
            <w:r w:rsidRPr="000B41D2">
              <w:rPr>
                <w:rFonts w:ascii="Arial" w:eastAsia="Times New Roman" w:hAnsi="Arial" w:cs="Arial"/>
                <w:b/>
                <w:bCs/>
                <w:sz w:val="24"/>
                <w:szCs w:val="24"/>
                <w:lang w:eastAsia="en-GB"/>
              </w:rPr>
              <w:t xml:space="preserve">LEVEL 1: Investigation of the complaint </w:t>
            </w:r>
            <w:r w:rsidR="00516260" w:rsidRPr="000B41D2">
              <w:rPr>
                <w:rFonts w:ascii="Arial" w:eastAsia="Times New Roman" w:hAnsi="Arial" w:cs="Arial"/>
                <w:b/>
                <w:bCs/>
                <w:sz w:val="24"/>
                <w:szCs w:val="24"/>
                <w:lang w:eastAsia="en-GB"/>
              </w:rPr>
              <w:t>by Queen’s Foundation</w:t>
            </w:r>
          </w:p>
        </w:tc>
      </w:tr>
      <w:tr w:rsidR="000B41D2" w:rsidRPr="000B41D2" w14:paraId="309EE6CC" w14:textId="77777777" w:rsidTr="00F15F33">
        <w:trPr>
          <w:gridAfter w:val="2"/>
          <w:wAfter w:w="211" w:type="dxa"/>
          <w:tblCellSpacing w:w="15" w:type="dxa"/>
        </w:trPr>
        <w:tc>
          <w:tcPr>
            <w:tcW w:w="9697" w:type="dxa"/>
            <w:tcBorders>
              <w:top w:val="single" w:sz="6" w:space="0" w:color="DDDDDD"/>
              <w:left w:val="single" w:sz="6" w:space="0" w:color="DDDDDD"/>
              <w:bottom w:val="single" w:sz="6" w:space="0" w:color="DDDDDD"/>
            </w:tcBorders>
            <w:shd w:val="clear" w:color="auto" w:fill="FFFFFF" w:themeFill="background1"/>
            <w:tcMar>
              <w:top w:w="120" w:type="dxa"/>
              <w:left w:w="120" w:type="dxa"/>
              <w:bottom w:w="120" w:type="dxa"/>
              <w:right w:w="120" w:type="dxa"/>
            </w:tcMar>
            <w:hideMark/>
          </w:tcPr>
          <w:p w14:paraId="59ABD889" w14:textId="77777777" w:rsidR="000B41D2" w:rsidRPr="000B41D2" w:rsidRDefault="000B41D2" w:rsidP="000B41D2">
            <w:pPr>
              <w:spacing w:after="0" w:line="240" w:lineRule="auto"/>
              <w:rPr>
                <w:rFonts w:ascii="Arial" w:eastAsia="Times New Roman" w:hAnsi="Arial" w:cs="Arial"/>
                <w:sz w:val="24"/>
                <w:szCs w:val="24"/>
                <w:lang w:eastAsia="en-GB"/>
              </w:rPr>
            </w:pPr>
            <w:r w:rsidRPr="000B41D2">
              <w:rPr>
                <w:rFonts w:ascii="Arial" w:eastAsia="Times New Roman" w:hAnsi="Arial" w:cs="Arial"/>
                <w:b/>
                <w:bCs/>
                <w:sz w:val="24"/>
                <w:szCs w:val="24"/>
                <w:lang w:eastAsia="en-GB"/>
              </w:rPr>
              <w:t>STAGE 1:</w:t>
            </w:r>
            <w:r>
              <w:rPr>
                <w:rFonts w:ascii="Arial" w:eastAsia="Times New Roman" w:hAnsi="Arial" w:cs="Arial"/>
                <w:sz w:val="24"/>
                <w:szCs w:val="24"/>
                <w:lang w:eastAsia="en-GB"/>
              </w:rPr>
              <w:t xml:space="preserve">  </w:t>
            </w:r>
            <w:r w:rsidRPr="000B41D2">
              <w:rPr>
                <w:rFonts w:ascii="Arial" w:eastAsia="Times New Roman" w:hAnsi="Arial" w:cs="Arial"/>
                <w:b/>
                <w:bCs/>
                <w:sz w:val="24"/>
                <w:szCs w:val="24"/>
                <w:lang w:eastAsia="en-GB"/>
              </w:rPr>
              <w:t>Informal resolution</w:t>
            </w:r>
          </w:p>
        </w:tc>
      </w:tr>
      <w:tr w:rsidR="000B41D2" w:rsidRPr="000B41D2" w14:paraId="7A2CEFF3" w14:textId="77777777" w:rsidTr="00F15F33">
        <w:trPr>
          <w:gridAfter w:val="2"/>
          <w:wAfter w:w="211" w:type="dxa"/>
          <w:tblCellSpacing w:w="15" w:type="dxa"/>
        </w:trPr>
        <w:tc>
          <w:tcPr>
            <w:tcW w:w="9697" w:type="dxa"/>
            <w:tcBorders>
              <w:top w:val="single" w:sz="6" w:space="0" w:color="DDDDDD"/>
              <w:left w:val="single" w:sz="6" w:space="0" w:color="DDDDDD"/>
              <w:bottom w:val="single" w:sz="6" w:space="0" w:color="DDDDDD"/>
            </w:tcBorders>
            <w:shd w:val="clear" w:color="auto" w:fill="FFFFFF" w:themeFill="background1"/>
            <w:tcMar>
              <w:top w:w="120" w:type="dxa"/>
              <w:left w:w="120" w:type="dxa"/>
              <w:bottom w:w="120" w:type="dxa"/>
              <w:right w:w="120" w:type="dxa"/>
            </w:tcMar>
          </w:tcPr>
          <w:p w14:paraId="5B08F095" w14:textId="63B630AC" w:rsidR="000B41D2" w:rsidRPr="00F15F33" w:rsidRDefault="000B41D2" w:rsidP="00F15F33">
            <w:pPr>
              <w:pStyle w:val="ListParagraph"/>
              <w:numPr>
                <w:ilvl w:val="0"/>
                <w:numId w:val="3"/>
              </w:numPr>
              <w:spacing w:after="0" w:line="240" w:lineRule="auto"/>
              <w:rPr>
                <w:rFonts w:ascii="Arial" w:eastAsia="Times New Roman" w:hAnsi="Arial" w:cs="Arial"/>
                <w:lang w:eastAsia="en-GB"/>
              </w:rPr>
            </w:pPr>
            <w:r w:rsidRPr="00F15F33">
              <w:rPr>
                <w:rFonts w:ascii="Arial" w:eastAsia="Times New Roman" w:hAnsi="Arial" w:cs="Arial"/>
                <w:lang w:eastAsia="en-GB"/>
              </w:rPr>
              <w:t xml:space="preserve">Applicants who have a complaint to make should raise it as soon as possible with the </w:t>
            </w:r>
            <w:r w:rsidR="00EC008F">
              <w:rPr>
                <w:rFonts w:ascii="Arial" w:eastAsia="Times New Roman" w:hAnsi="Arial" w:cs="Arial"/>
                <w:lang w:eastAsia="en-GB"/>
              </w:rPr>
              <w:t>Registry Manager</w:t>
            </w:r>
            <w:r w:rsidRPr="00F15F33">
              <w:rPr>
                <w:rFonts w:ascii="Arial" w:eastAsia="Times New Roman" w:hAnsi="Arial" w:cs="Arial"/>
                <w:lang w:eastAsia="en-GB"/>
              </w:rPr>
              <w:t xml:space="preserve"> (</w:t>
            </w:r>
            <w:hyperlink r:id="rId8" w:history="1">
              <w:r w:rsidR="00EC008F" w:rsidRPr="00BB7974">
                <w:rPr>
                  <w:rStyle w:val="Hyperlink"/>
                  <w:rFonts w:ascii="Arial" w:eastAsia="Times New Roman" w:hAnsi="Arial" w:cs="Arial"/>
                  <w:lang w:eastAsia="en-GB"/>
                </w:rPr>
                <w:t>registrymanager@queens.ac.uk</w:t>
              </w:r>
            </w:hyperlink>
            <w:r w:rsidRPr="00F15F33">
              <w:rPr>
                <w:rFonts w:ascii="Arial" w:eastAsia="Times New Roman" w:hAnsi="Arial" w:cs="Arial"/>
                <w:lang w:eastAsia="en-GB"/>
              </w:rPr>
              <w:t xml:space="preserve">)  and no more than 28 days after the event unless there is good reason for the delay.  </w:t>
            </w:r>
          </w:p>
          <w:p w14:paraId="0102611E" w14:textId="77777777" w:rsidR="000B41D2" w:rsidRPr="00F15F33" w:rsidRDefault="000B41D2" w:rsidP="000B41D2">
            <w:pPr>
              <w:spacing w:after="0" w:line="240" w:lineRule="auto"/>
              <w:rPr>
                <w:rFonts w:ascii="Arial" w:eastAsia="Times New Roman" w:hAnsi="Arial" w:cs="Arial"/>
                <w:lang w:eastAsia="en-GB"/>
              </w:rPr>
            </w:pPr>
          </w:p>
          <w:p w14:paraId="53547F55" w14:textId="77777777" w:rsidR="000B41D2" w:rsidRPr="00F15F33" w:rsidRDefault="000B41D2" w:rsidP="00F15F33">
            <w:pPr>
              <w:pStyle w:val="ListParagraph"/>
              <w:numPr>
                <w:ilvl w:val="0"/>
                <w:numId w:val="3"/>
              </w:numPr>
              <w:spacing w:after="0" w:line="240" w:lineRule="auto"/>
              <w:rPr>
                <w:rFonts w:ascii="Arial" w:eastAsia="Times New Roman" w:hAnsi="Arial" w:cs="Arial"/>
                <w:lang w:eastAsia="en-GB"/>
              </w:rPr>
            </w:pPr>
            <w:r w:rsidRPr="00F15F33">
              <w:rPr>
                <w:rFonts w:ascii="Arial" w:eastAsia="Times New Roman" w:hAnsi="Arial" w:cs="Arial"/>
                <w:lang w:eastAsia="en-GB"/>
              </w:rPr>
              <w:t xml:space="preserve">At the conclusion of any informal resolution attempts, the applicant will be informed of the formal complaint procedure and deadline for submitting a formal complaint.  </w:t>
            </w:r>
          </w:p>
          <w:p w14:paraId="6BA5CC00" w14:textId="77777777" w:rsidR="000B41D2" w:rsidRPr="00F15F33" w:rsidRDefault="000B41D2" w:rsidP="000B41D2">
            <w:pPr>
              <w:spacing w:after="0" w:line="240" w:lineRule="auto"/>
              <w:rPr>
                <w:rFonts w:ascii="Arial" w:eastAsia="Times New Roman" w:hAnsi="Arial" w:cs="Arial"/>
                <w:lang w:eastAsia="en-GB"/>
              </w:rPr>
            </w:pPr>
          </w:p>
          <w:p w14:paraId="5290056C" w14:textId="70B43EC8" w:rsidR="000B41D2" w:rsidRPr="00F15F33" w:rsidRDefault="000B41D2" w:rsidP="00AA1B08">
            <w:pPr>
              <w:pStyle w:val="ListParagraph"/>
              <w:numPr>
                <w:ilvl w:val="0"/>
                <w:numId w:val="3"/>
              </w:numPr>
              <w:spacing w:after="0" w:line="240" w:lineRule="auto"/>
              <w:rPr>
                <w:rFonts w:ascii="Arial" w:eastAsia="Times New Roman" w:hAnsi="Arial" w:cs="Arial"/>
                <w:lang w:eastAsia="en-GB"/>
              </w:rPr>
            </w:pPr>
            <w:r w:rsidRPr="00F15F33">
              <w:rPr>
                <w:rFonts w:ascii="Arial" w:eastAsia="Times New Roman" w:hAnsi="Arial" w:cs="Arial"/>
                <w:lang w:eastAsia="en-GB"/>
              </w:rPr>
              <w:t xml:space="preserve">Formal complaints should be addressed to the Principal </w:t>
            </w:r>
            <w:r w:rsidR="00342BE0">
              <w:rPr>
                <w:rFonts w:ascii="Arial" w:eastAsia="Times New Roman" w:hAnsi="Arial" w:cs="Arial"/>
                <w:lang w:eastAsia="en-GB"/>
              </w:rPr>
              <w:t>(</w:t>
            </w:r>
            <w:hyperlink r:id="rId9" w:history="1">
              <w:r w:rsidR="00342BE0" w:rsidRPr="00BB7974">
                <w:rPr>
                  <w:rStyle w:val="Hyperlink"/>
                  <w:rFonts w:ascii="Arial" w:eastAsia="Times New Roman" w:hAnsi="Arial" w:cs="Arial"/>
                  <w:lang w:eastAsia="en-GB"/>
                </w:rPr>
                <w:t>principal@queens.ac.uk</w:t>
              </w:r>
            </w:hyperlink>
            <w:r w:rsidRPr="00F15F33">
              <w:rPr>
                <w:rFonts w:ascii="Arial" w:eastAsia="Times New Roman" w:hAnsi="Arial" w:cs="Arial"/>
                <w:lang w:eastAsia="en-GB"/>
              </w:rPr>
              <w:t>).</w:t>
            </w:r>
          </w:p>
        </w:tc>
      </w:tr>
      <w:tr w:rsidR="000B41D2" w:rsidRPr="000B41D2" w14:paraId="3B899504" w14:textId="77777777" w:rsidTr="00F15F33">
        <w:trPr>
          <w:gridAfter w:val="2"/>
          <w:wAfter w:w="211" w:type="dxa"/>
          <w:tblCellSpacing w:w="15" w:type="dxa"/>
        </w:trPr>
        <w:tc>
          <w:tcPr>
            <w:tcW w:w="9697" w:type="dxa"/>
            <w:tcBorders>
              <w:top w:val="single" w:sz="6" w:space="0" w:color="DDDDDD"/>
              <w:left w:val="single" w:sz="6" w:space="0" w:color="DDDDDD"/>
              <w:bottom w:val="single" w:sz="6" w:space="0" w:color="DDDDDD"/>
            </w:tcBorders>
            <w:shd w:val="clear" w:color="auto" w:fill="FFFFFF" w:themeFill="background1"/>
            <w:tcMar>
              <w:top w:w="120" w:type="dxa"/>
              <w:left w:w="120" w:type="dxa"/>
              <w:bottom w:w="120" w:type="dxa"/>
              <w:right w:w="120" w:type="dxa"/>
            </w:tcMar>
            <w:hideMark/>
          </w:tcPr>
          <w:p w14:paraId="28FE36D0" w14:textId="77777777" w:rsidR="000B41D2" w:rsidRPr="000B41D2" w:rsidRDefault="000B41D2" w:rsidP="000B41D2">
            <w:pPr>
              <w:spacing w:after="0" w:line="240" w:lineRule="auto"/>
              <w:rPr>
                <w:rFonts w:ascii="Arial" w:eastAsia="Times New Roman" w:hAnsi="Arial" w:cs="Arial"/>
                <w:sz w:val="24"/>
                <w:szCs w:val="24"/>
                <w:lang w:eastAsia="en-GB"/>
              </w:rPr>
            </w:pPr>
            <w:r w:rsidRPr="000B41D2">
              <w:rPr>
                <w:rFonts w:ascii="Arial" w:eastAsia="Times New Roman" w:hAnsi="Arial" w:cs="Arial"/>
                <w:b/>
                <w:bCs/>
                <w:sz w:val="24"/>
                <w:szCs w:val="24"/>
                <w:lang w:eastAsia="en-GB"/>
              </w:rPr>
              <w:t>STAGE 2: Formal resolution</w:t>
            </w:r>
          </w:p>
        </w:tc>
      </w:tr>
      <w:tr w:rsidR="000B41D2" w:rsidRPr="000B41D2" w14:paraId="2CABBCBD" w14:textId="77777777" w:rsidTr="00F15F33">
        <w:trPr>
          <w:gridAfter w:val="2"/>
          <w:wAfter w:w="211" w:type="dxa"/>
          <w:tblCellSpacing w:w="15" w:type="dxa"/>
        </w:trPr>
        <w:tc>
          <w:tcPr>
            <w:tcW w:w="9697" w:type="dxa"/>
            <w:tcBorders>
              <w:top w:val="single" w:sz="6" w:space="0" w:color="DDDDDD"/>
              <w:left w:val="single" w:sz="6" w:space="0" w:color="DDDDDD"/>
              <w:bottom w:val="single" w:sz="6" w:space="0" w:color="DDDDDD"/>
            </w:tcBorders>
            <w:shd w:val="clear" w:color="auto" w:fill="FFFFFF" w:themeFill="background1"/>
            <w:tcMar>
              <w:top w:w="120" w:type="dxa"/>
              <w:left w:w="120" w:type="dxa"/>
              <w:bottom w:w="120" w:type="dxa"/>
              <w:right w:w="120" w:type="dxa"/>
            </w:tcMar>
          </w:tcPr>
          <w:p w14:paraId="282690EC" w14:textId="77777777" w:rsidR="000B41D2" w:rsidRPr="00F15F33" w:rsidRDefault="000B41D2" w:rsidP="000B41D2">
            <w:pPr>
              <w:spacing w:after="0" w:line="240" w:lineRule="auto"/>
              <w:rPr>
                <w:rFonts w:ascii="Arial" w:eastAsia="Times New Roman" w:hAnsi="Arial" w:cs="Arial"/>
                <w:i/>
                <w:lang w:eastAsia="en-GB"/>
              </w:rPr>
            </w:pPr>
            <w:r w:rsidRPr="000B41D2">
              <w:rPr>
                <w:rFonts w:ascii="Arial" w:eastAsia="Times New Roman" w:hAnsi="Arial" w:cs="Arial"/>
                <w:i/>
                <w:sz w:val="24"/>
                <w:szCs w:val="24"/>
                <w:lang w:eastAsia="en-GB"/>
              </w:rPr>
              <w:t>T</w:t>
            </w:r>
            <w:r w:rsidRPr="00F15F33">
              <w:rPr>
                <w:rFonts w:ascii="Arial" w:eastAsia="Times New Roman" w:hAnsi="Arial" w:cs="Arial"/>
                <w:i/>
                <w:lang w:eastAsia="en-GB"/>
              </w:rPr>
              <w:t>he formal stage will be instituted only when the informal procedures have been exhausted and the complainant remains dissatisfied.</w:t>
            </w:r>
          </w:p>
          <w:p w14:paraId="6A9278BC" w14:textId="77777777" w:rsidR="000B41D2" w:rsidRPr="00F15F33" w:rsidRDefault="000B41D2" w:rsidP="000B41D2">
            <w:pPr>
              <w:spacing w:after="0" w:line="240" w:lineRule="auto"/>
              <w:rPr>
                <w:rFonts w:ascii="Arial" w:eastAsia="Times New Roman" w:hAnsi="Arial" w:cs="Arial"/>
                <w:i/>
                <w:lang w:eastAsia="en-GB"/>
              </w:rPr>
            </w:pPr>
          </w:p>
          <w:p w14:paraId="102EBDAF" w14:textId="587FD6C9" w:rsidR="000B41D2" w:rsidRPr="00F15F33" w:rsidRDefault="000B41D2" w:rsidP="00F15F33">
            <w:pPr>
              <w:pStyle w:val="ListParagraph"/>
              <w:numPr>
                <w:ilvl w:val="0"/>
                <w:numId w:val="4"/>
              </w:numPr>
              <w:spacing w:after="0" w:line="240" w:lineRule="auto"/>
              <w:rPr>
                <w:rFonts w:ascii="Arial" w:eastAsia="Times New Roman" w:hAnsi="Arial" w:cs="Arial"/>
                <w:lang w:eastAsia="en-GB"/>
              </w:rPr>
            </w:pPr>
            <w:r w:rsidRPr="00F15F33">
              <w:rPr>
                <w:rFonts w:ascii="Arial" w:eastAsia="Times New Roman" w:hAnsi="Arial" w:cs="Arial"/>
                <w:lang w:eastAsia="en-GB"/>
              </w:rPr>
              <w:t>When a complaint moves to stage 2</w:t>
            </w:r>
            <w:r w:rsidR="004F299F">
              <w:rPr>
                <w:rFonts w:ascii="Arial" w:eastAsia="Times New Roman" w:hAnsi="Arial" w:cs="Arial"/>
                <w:lang w:eastAsia="en-GB"/>
              </w:rPr>
              <w:t>,</w:t>
            </w:r>
            <w:r w:rsidRPr="00F15F33">
              <w:rPr>
                <w:rFonts w:ascii="Arial" w:eastAsia="Times New Roman" w:hAnsi="Arial" w:cs="Arial"/>
                <w:lang w:eastAsia="en-GB"/>
              </w:rPr>
              <w:t xml:space="preserve"> an investigating officer who is not connected with the admissions process will be appointed by the Principal.  </w:t>
            </w:r>
          </w:p>
          <w:p w14:paraId="6C2F9FF0" w14:textId="77777777" w:rsidR="000B41D2" w:rsidRPr="00F15F33" w:rsidRDefault="000B41D2" w:rsidP="000B41D2">
            <w:pPr>
              <w:spacing w:after="0" w:line="240" w:lineRule="auto"/>
              <w:rPr>
                <w:rFonts w:ascii="Arial" w:eastAsia="Times New Roman" w:hAnsi="Arial" w:cs="Arial"/>
                <w:lang w:eastAsia="en-GB"/>
              </w:rPr>
            </w:pPr>
          </w:p>
          <w:p w14:paraId="7A17B152" w14:textId="77777777" w:rsidR="000B41D2" w:rsidRPr="00F15F33" w:rsidRDefault="000B41D2" w:rsidP="00F15F33">
            <w:pPr>
              <w:pStyle w:val="ListParagraph"/>
              <w:numPr>
                <w:ilvl w:val="0"/>
                <w:numId w:val="4"/>
              </w:numPr>
              <w:spacing w:after="0" w:line="240" w:lineRule="auto"/>
              <w:rPr>
                <w:rFonts w:ascii="Arial" w:eastAsia="Times New Roman" w:hAnsi="Arial" w:cs="Arial"/>
                <w:lang w:eastAsia="en-GB"/>
              </w:rPr>
            </w:pPr>
            <w:r w:rsidRPr="00F15F33">
              <w:rPr>
                <w:rFonts w:ascii="Arial" w:eastAsia="Times New Roman" w:hAnsi="Arial" w:cs="Arial"/>
                <w:lang w:eastAsia="en-GB"/>
              </w:rPr>
              <w:t xml:space="preserve">The investigating officer will review the admissions complaint in relation to the administration of the Queen’s admissions policies and procedures.  The complainant may be requested to provide evidence of communications or other items or attend an interview with the investigating officer to discuss the detail of their complaint.  </w:t>
            </w:r>
          </w:p>
          <w:p w14:paraId="79FA8FCC" w14:textId="77777777" w:rsidR="000B41D2" w:rsidRPr="00F15F33" w:rsidRDefault="000B41D2" w:rsidP="000B41D2">
            <w:pPr>
              <w:spacing w:after="0" w:line="240" w:lineRule="auto"/>
              <w:rPr>
                <w:rFonts w:ascii="Arial" w:eastAsia="Times New Roman" w:hAnsi="Arial" w:cs="Arial"/>
                <w:lang w:eastAsia="en-GB"/>
              </w:rPr>
            </w:pPr>
          </w:p>
          <w:p w14:paraId="1C6B6C70" w14:textId="77777777" w:rsidR="000B41D2" w:rsidRPr="00F15F33" w:rsidRDefault="000B41D2" w:rsidP="00F15F33">
            <w:pPr>
              <w:pStyle w:val="ListParagraph"/>
              <w:numPr>
                <w:ilvl w:val="0"/>
                <w:numId w:val="4"/>
              </w:numPr>
              <w:spacing w:after="0" w:line="240" w:lineRule="auto"/>
              <w:rPr>
                <w:rFonts w:ascii="Arial" w:eastAsia="Times New Roman" w:hAnsi="Arial" w:cs="Arial"/>
                <w:lang w:eastAsia="en-GB"/>
              </w:rPr>
            </w:pPr>
            <w:r w:rsidRPr="00F15F33">
              <w:rPr>
                <w:rFonts w:ascii="Arial" w:eastAsia="Times New Roman" w:hAnsi="Arial" w:cs="Arial"/>
                <w:lang w:eastAsia="en-GB"/>
              </w:rPr>
              <w:t xml:space="preserve">The investigating officer will produce a report making recommendations either for resolving the complaint with mediation, upholding the complaint and issuing instructions as to how the complaint must be addressed, or dismissing the complaint with reasons.  </w:t>
            </w:r>
          </w:p>
          <w:p w14:paraId="602BCABE" w14:textId="77777777" w:rsidR="000B41D2" w:rsidRPr="00F15F33" w:rsidRDefault="000B41D2" w:rsidP="000B41D2">
            <w:pPr>
              <w:spacing w:after="0" w:line="240" w:lineRule="auto"/>
              <w:rPr>
                <w:rFonts w:ascii="Arial" w:eastAsia="Times New Roman" w:hAnsi="Arial" w:cs="Arial"/>
                <w:lang w:eastAsia="en-GB"/>
              </w:rPr>
            </w:pPr>
          </w:p>
          <w:p w14:paraId="0B0DD4DC" w14:textId="2965FE02" w:rsidR="000B41D2" w:rsidRPr="00F15F33" w:rsidRDefault="000B41D2" w:rsidP="00F15F33">
            <w:pPr>
              <w:pStyle w:val="ListParagraph"/>
              <w:numPr>
                <w:ilvl w:val="0"/>
                <w:numId w:val="4"/>
              </w:numPr>
              <w:spacing w:after="0" w:line="240" w:lineRule="auto"/>
              <w:rPr>
                <w:rFonts w:ascii="Arial" w:eastAsia="Times New Roman" w:hAnsi="Arial" w:cs="Arial"/>
                <w:b/>
                <w:bCs/>
                <w:sz w:val="24"/>
                <w:szCs w:val="24"/>
                <w:lang w:eastAsia="en-GB"/>
              </w:rPr>
            </w:pPr>
            <w:r w:rsidRPr="00F15F33">
              <w:rPr>
                <w:rFonts w:ascii="Arial" w:eastAsia="Times New Roman" w:hAnsi="Arial" w:cs="Arial"/>
                <w:lang w:eastAsia="en-GB"/>
              </w:rPr>
              <w:t>A letter will be sent to the complainant informing them of the outcome</w:t>
            </w:r>
            <w:r w:rsidR="00D264B8">
              <w:rPr>
                <w:rFonts w:ascii="Arial" w:eastAsia="Times New Roman" w:hAnsi="Arial" w:cs="Arial"/>
                <w:lang w:eastAsia="en-GB"/>
              </w:rPr>
              <w:t>,</w:t>
            </w:r>
            <w:r w:rsidRPr="00F15F33">
              <w:rPr>
                <w:rFonts w:ascii="Arial" w:eastAsia="Times New Roman" w:hAnsi="Arial" w:cs="Arial"/>
                <w:lang w:eastAsia="en-GB"/>
              </w:rPr>
              <w:t xml:space="preserve"> and also how the complainant may request that the decision is reviewed by Durham University if they are still unsatisfied.</w:t>
            </w:r>
          </w:p>
        </w:tc>
      </w:tr>
      <w:tr w:rsidR="001F0B62" w:rsidRPr="000B41D2" w14:paraId="312F3280" w14:textId="77777777" w:rsidTr="00F15F33">
        <w:trPr>
          <w:gridAfter w:val="2"/>
          <w:wAfter w:w="211" w:type="dxa"/>
          <w:tblCellSpacing w:w="15" w:type="dxa"/>
        </w:trPr>
        <w:tc>
          <w:tcPr>
            <w:tcW w:w="9697" w:type="dxa"/>
            <w:tcBorders>
              <w:top w:val="single" w:sz="6" w:space="0" w:color="DDDDDD"/>
              <w:left w:val="single" w:sz="6" w:space="0" w:color="DDDDDD"/>
              <w:bottom w:val="single" w:sz="6" w:space="0" w:color="DDDDDD"/>
            </w:tcBorders>
            <w:shd w:val="clear" w:color="auto" w:fill="FFFFFF" w:themeFill="background1"/>
            <w:tcMar>
              <w:top w:w="120" w:type="dxa"/>
              <w:left w:w="120" w:type="dxa"/>
              <w:bottom w:w="120" w:type="dxa"/>
              <w:right w:w="120" w:type="dxa"/>
            </w:tcMar>
            <w:hideMark/>
          </w:tcPr>
          <w:p w14:paraId="537456B5" w14:textId="77777777" w:rsidR="001F0B62" w:rsidRPr="000B41D2" w:rsidRDefault="001F0B62" w:rsidP="000B41D2">
            <w:pPr>
              <w:spacing w:after="0" w:line="240" w:lineRule="auto"/>
              <w:jc w:val="center"/>
              <w:rPr>
                <w:rFonts w:ascii="Arial" w:eastAsia="Times New Roman" w:hAnsi="Arial" w:cs="Arial"/>
                <w:sz w:val="24"/>
                <w:szCs w:val="24"/>
                <w:lang w:eastAsia="en-GB"/>
              </w:rPr>
            </w:pPr>
            <w:r w:rsidRPr="000B41D2">
              <w:rPr>
                <w:rFonts w:ascii="Arial" w:eastAsia="Times New Roman" w:hAnsi="Arial" w:cs="Arial"/>
                <w:b/>
                <w:bCs/>
                <w:sz w:val="24"/>
                <w:szCs w:val="24"/>
                <w:lang w:eastAsia="en-GB"/>
              </w:rPr>
              <w:lastRenderedPageBreak/>
              <w:t>LEVEL 2: Referral to the University</w:t>
            </w:r>
            <w:r w:rsidR="00C7066E" w:rsidRPr="000B41D2">
              <w:rPr>
                <w:rFonts w:ascii="Arial" w:eastAsia="Times New Roman" w:hAnsi="Arial" w:cs="Arial"/>
                <w:b/>
                <w:bCs/>
                <w:sz w:val="24"/>
                <w:szCs w:val="24"/>
                <w:lang w:eastAsia="en-GB"/>
              </w:rPr>
              <w:t xml:space="preserve"> of Durham</w:t>
            </w:r>
          </w:p>
        </w:tc>
      </w:tr>
      <w:tr w:rsidR="000B41D2" w:rsidRPr="000B41D2" w14:paraId="77A64AA6" w14:textId="77777777" w:rsidTr="00F15F33">
        <w:trPr>
          <w:gridAfter w:val="2"/>
          <w:wAfter w:w="211" w:type="dxa"/>
          <w:tblCellSpacing w:w="15" w:type="dxa"/>
        </w:trPr>
        <w:tc>
          <w:tcPr>
            <w:tcW w:w="9697" w:type="dxa"/>
            <w:tcBorders>
              <w:top w:val="single" w:sz="6" w:space="0" w:color="DDDDDD"/>
              <w:left w:val="single" w:sz="6" w:space="0" w:color="DDDDDD"/>
              <w:bottom w:val="single" w:sz="6" w:space="0" w:color="DDDDDD"/>
            </w:tcBorders>
            <w:shd w:val="clear" w:color="auto" w:fill="FFFFFF" w:themeFill="background1"/>
            <w:tcMar>
              <w:top w:w="120" w:type="dxa"/>
              <w:left w:w="120" w:type="dxa"/>
              <w:bottom w:w="120" w:type="dxa"/>
              <w:right w:w="120" w:type="dxa"/>
            </w:tcMar>
            <w:hideMark/>
          </w:tcPr>
          <w:p w14:paraId="7AB11CAE" w14:textId="77777777" w:rsidR="000B41D2" w:rsidRPr="000B41D2" w:rsidRDefault="000B41D2" w:rsidP="00AA1B08">
            <w:pPr>
              <w:spacing w:after="0" w:line="240" w:lineRule="auto"/>
              <w:rPr>
                <w:rFonts w:ascii="Arial" w:eastAsia="Times New Roman" w:hAnsi="Arial" w:cs="Arial"/>
                <w:sz w:val="24"/>
                <w:szCs w:val="24"/>
                <w:lang w:eastAsia="en-GB"/>
              </w:rPr>
            </w:pPr>
            <w:r w:rsidRPr="000B41D2">
              <w:rPr>
                <w:rFonts w:ascii="Arial" w:eastAsia="Times New Roman" w:hAnsi="Arial" w:cs="Arial"/>
                <w:b/>
                <w:bCs/>
                <w:sz w:val="24"/>
                <w:szCs w:val="24"/>
                <w:lang w:eastAsia="en-GB"/>
              </w:rPr>
              <w:t>STAGE 3: University review</w:t>
            </w:r>
          </w:p>
        </w:tc>
      </w:tr>
      <w:tr w:rsidR="000B41D2" w:rsidRPr="000B41D2" w14:paraId="5F43C482" w14:textId="77777777" w:rsidTr="00F15F33">
        <w:trPr>
          <w:gridAfter w:val="2"/>
          <w:wAfter w:w="211" w:type="dxa"/>
          <w:tblCellSpacing w:w="15" w:type="dxa"/>
        </w:trPr>
        <w:tc>
          <w:tcPr>
            <w:tcW w:w="9697" w:type="dxa"/>
            <w:tcBorders>
              <w:top w:val="single" w:sz="6" w:space="0" w:color="DDDDDD"/>
              <w:left w:val="single" w:sz="6" w:space="0" w:color="DDDDDD"/>
              <w:bottom w:val="single" w:sz="6" w:space="0" w:color="DDDDDD"/>
            </w:tcBorders>
            <w:shd w:val="clear" w:color="auto" w:fill="FFFFFF" w:themeFill="background1"/>
            <w:tcMar>
              <w:top w:w="120" w:type="dxa"/>
              <w:left w:w="120" w:type="dxa"/>
              <w:bottom w:w="120" w:type="dxa"/>
              <w:right w:w="120" w:type="dxa"/>
            </w:tcMar>
          </w:tcPr>
          <w:p w14:paraId="418AC3DB" w14:textId="77777777" w:rsidR="000B41D2" w:rsidRPr="00F15F33" w:rsidRDefault="000B41D2" w:rsidP="00F15F33">
            <w:pPr>
              <w:pStyle w:val="ListParagraph"/>
              <w:numPr>
                <w:ilvl w:val="0"/>
                <w:numId w:val="5"/>
              </w:numPr>
              <w:spacing w:after="0" w:line="240" w:lineRule="auto"/>
              <w:rPr>
                <w:rFonts w:ascii="Arial" w:eastAsia="Times New Roman" w:hAnsi="Arial" w:cs="Arial"/>
                <w:lang w:eastAsia="en-GB"/>
              </w:rPr>
            </w:pPr>
            <w:r w:rsidRPr="00F15F33">
              <w:rPr>
                <w:rFonts w:ascii="Arial" w:eastAsia="Times New Roman" w:hAnsi="Arial" w:cs="Arial"/>
                <w:lang w:eastAsia="en-GB"/>
              </w:rPr>
              <w:t>If the complainant remains dissatisfied once Queen’s informal and formal procedures are exhausted, the complainant must be informed of their right to request a review by the University. </w:t>
            </w:r>
          </w:p>
          <w:p w14:paraId="038884A6" w14:textId="77777777" w:rsidR="000B41D2" w:rsidRPr="00F15F33" w:rsidRDefault="000B41D2" w:rsidP="000B41D2">
            <w:pPr>
              <w:spacing w:after="0" w:line="240" w:lineRule="auto"/>
              <w:rPr>
                <w:rFonts w:ascii="Arial" w:eastAsia="Times New Roman" w:hAnsi="Arial" w:cs="Arial"/>
                <w:lang w:eastAsia="en-GB"/>
              </w:rPr>
            </w:pPr>
          </w:p>
          <w:p w14:paraId="275590D9" w14:textId="77777777" w:rsidR="000B41D2" w:rsidRPr="00F15F33" w:rsidRDefault="000B41D2" w:rsidP="00F15F33">
            <w:pPr>
              <w:pStyle w:val="ListParagraph"/>
              <w:numPr>
                <w:ilvl w:val="0"/>
                <w:numId w:val="5"/>
              </w:numPr>
              <w:spacing w:after="0" w:line="240" w:lineRule="auto"/>
              <w:rPr>
                <w:rFonts w:ascii="Arial" w:eastAsia="Times New Roman" w:hAnsi="Arial" w:cs="Arial"/>
                <w:lang w:eastAsia="en-GB"/>
              </w:rPr>
            </w:pPr>
            <w:r w:rsidRPr="00F15F33">
              <w:rPr>
                <w:rFonts w:ascii="Arial" w:eastAsia="Times New Roman" w:hAnsi="Arial" w:cs="Arial"/>
                <w:lang w:eastAsia="en-GB"/>
              </w:rPr>
              <w:t>The University will determine whether to review the admissions complaint to ascertain whether the Queen’s admissions policies and processes had been implemented correctly and will contact both Queens’ and the complainant to gather evidence. </w:t>
            </w:r>
          </w:p>
          <w:p w14:paraId="18A2A5AF" w14:textId="77777777" w:rsidR="000B41D2" w:rsidRPr="00F15F33" w:rsidRDefault="000B41D2" w:rsidP="000B41D2">
            <w:pPr>
              <w:spacing w:after="0" w:line="240" w:lineRule="auto"/>
              <w:rPr>
                <w:rFonts w:ascii="Arial" w:eastAsia="Times New Roman" w:hAnsi="Arial" w:cs="Arial"/>
                <w:lang w:eastAsia="en-GB"/>
              </w:rPr>
            </w:pPr>
          </w:p>
          <w:p w14:paraId="32BADDAD" w14:textId="77777777" w:rsidR="000B41D2" w:rsidRPr="00F15F33" w:rsidRDefault="000B41D2" w:rsidP="00F15F33">
            <w:pPr>
              <w:pStyle w:val="ListParagraph"/>
              <w:numPr>
                <w:ilvl w:val="0"/>
                <w:numId w:val="5"/>
              </w:numPr>
              <w:spacing w:after="0" w:line="240" w:lineRule="auto"/>
              <w:rPr>
                <w:rFonts w:ascii="Arial" w:eastAsia="Times New Roman" w:hAnsi="Arial" w:cs="Arial"/>
                <w:lang w:eastAsia="en-GB"/>
              </w:rPr>
            </w:pPr>
            <w:r w:rsidRPr="00F15F33">
              <w:rPr>
                <w:rFonts w:ascii="Arial" w:eastAsia="Times New Roman" w:hAnsi="Arial" w:cs="Arial"/>
                <w:lang w:eastAsia="en-GB"/>
              </w:rPr>
              <w:t xml:space="preserve">If procedural irregularities are identified, the complaint might be referred back to the Queen’s for further review.  </w:t>
            </w:r>
          </w:p>
          <w:p w14:paraId="45D70B0B" w14:textId="77777777" w:rsidR="000B41D2" w:rsidRPr="00F15F33" w:rsidRDefault="000B41D2" w:rsidP="000B41D2">
            <w:pPr>
              <w:spacing w:after="0" w:line="240" w:lineRule="auto"/>
              <w:rPr>
                <w:rFonts w:ascii="Arial" w:eastAsia="Times New Roman" w:hAnsi="Arial" w:cs="Arial"/>
                <w:lang w:eastAsia="en-GB"/>
              </w:rPr>
            </w:pPr>
          </w:p>
          <w:p w14:paraId="65CF6CA0" w14:textId="306F96D3" w:rsidR="000B41D2" w:rsidRPr="00F15F33" w:rsidRDefault="000B41D2" w:rsidP="00F15F33">
            <w:pPr>
              <w:pStyle w:val="ListParagraph"/>
              <w:numPr>
                <w:ilvl w:val="0"/>
                <w:numId w:val="5"/>
              </w:numPr>
              <w:spacing w:after="0" w:line="240" w:lineRule="auto"/>
              <w:rPr>
                <w:rFonts w:ascii="Arial" w:eastAsia="Times New Roman" w:hAnsi="Arial" w:cs="Arial"/>
                <w:lang w:eastAsia="en-GB"/>
              </w:rPr>
            </w:pPr>
            <w:r w:rsidRPr="00F15F33">
              <w:rPr>
                <w:rFonts w:ascii="Arial" w:eastAsia="Times New Roman" w:hAnsi="Arial" w:cs="Arial"/>
                <w:lang w:eastAsia="en-GB"/>
              </w:rPr>
              <w:t>The University of Durham will inform both the complainant and the Queen</w:t>
            </w:r>
            <w:r w:rsidR="00342BE0">
              <w:rPr>
                <w:rFonts w:ascii="Arial" w:eastAsia="Times New Roman" w:hAnsi="Arial" w:cs="Arial"/>
                <w:lang w:eastAsia="en-GB"/>
              </w:rPr>
              <w:t>’</w:t>
            </w:r>
            <w:r w:rsidRPr="00F15F33">
              <w:rPr>
                <w:rFonts w:ascii="Arial" w:eastAsia="Times New Roman" w:hAnsi="Arial" w:cs="Arial"/>
                <w:lang w:eastAsia="en-GB"/>
              </w:rPr>
              <w:t xml:space="preserve">s </w:t>
            </w:r>
            <w:r w:rsidR="00342BE0">
              <w:rPr>
                <w:rFonts w:ascii="Arial" w:eastAsia="Times New Roman" w:hAnsi="Arial" w:cs="Arial"/>
                <w:lang w:eastAsia="en-GB"/>
              </w:rPr>
              <w:t>F</w:t>
            </w:r>
            <w:r w:rsidRPr="00F15F33">
              <w:rPr>
                <w:rFonts w:ascii="Arial" w:eastAsia="Times New Roman" w:hAnsi="Arial" w:cs="Arial"/>
                <w:lang w:eastAsia="en-GB"/>
              </w:rPr>
              <w:t>oundation of the outcome.  If the University of Durham dismisses the review</w:t>
            </w:r>
            <w:r w:rsidR="00342BE0">
              <w:rPr>
                <w:rFonts w:ascii="Arial" w:eastAsia="Times New Roman" w:hAnsi="Arial" w:cs="Arial"/>
                <w:lang w:eastAsia="en-GB"/>
              </w:rPr>
              <w:t>,</w:t>
            </w:r>
            <w:r w:rsidRPr="00F15F33">
              <w:rPr>
                <w:rFonts w:ascii="Arial" w:eastAsia="Times New Roman" w:hAnsi="Arial" w:cs="Arial"/>
                <w:lang w:eastAsia="en-GB"/>
              </w:rPr>
              <w:t xml:space="preserve"> there shall be no further opportunity for the complainant to be pursued within the University.  </w:t>
            </w:r>
          </w:p>
          <w:p w14:paraId="618728D7" w14:textId="77777777" w:rsidR="000B41D2" w:rsidRPr="00F15F33" w:rsidRDefault="000B41D2" w:rsidP="000B41D2">
            <w:pPr>
              <w:spacing w:after="0" w:line="240" w:lineRule="auto"/>
              <w:rPr>
                <w:rFonts w:ascii="Arial" w:eastAsia="Times New Roman" w:hAnsi="Arial" w:cs="Arial"/>
                <w:lang w:eastAsia="en-GB"/>
              </w:rPr>
            </w:pPr>
          </w:p>
          <w:p w14:paraId="19369D78" w14:textId="35C484B3" w:rsidR="000B41D2" w:rsidRPr="00F15F33" w:rsidRDefault="000B41D2" w:rsidP="00F15F33">
            <w:pPr>
              <w:pStyle w:val="ListParagraph"/>
              <w:numPr>
                <w:ilvl w:val="0"/>
                <w:numId w:val="5"/>
              </w:numPr>
              <w:spacing w:after="0" w:line="240" w:lineRule="auto"/>
              <w:rPr>
                <w:rFonts w:ascii="Arial" w:eastAsia="Times New Roman" w:hAnsi="Arial" w:cs="Arial"/>
                <w:sz w:val="24"/>
                <w:szCs w:val="24"/>
                <w:lang w:eastAsia="en-GB"/>
              </w:rPr>
            </w:pPr>
            <w:r w:rsidRPr="00F15F33">
              <w:rPr>
                <w:rFonts w:ascii="Arial" w:eastAsia="Times New Roman" w:hAnsi="Arial" w:cs="Arial"/>
                <w:lang w:eastAsia="en-GB"/>
              </w:rPr>
              <w:t>Both Queen’s Foundation and Durham University subscribe to the Office of the Independent Adjudicator</w:t>
            </w:r>
            <w:r w:rsidR="00342BE0">
              <w:rPr>
                <w:rFonts w:ascii="Arial" w:eastAsia="Times New Roman" w:hAnsi="Arial" w:cs="Arial"/>
                <w:lang w:eastAsia="en-GB"/>
              </w:rPr>
              <w:t>.</w:t>
            </w:r>
            <w:r w:rsidRPr="00F15F33">
              <w:rPr>
                <w:rFonts w:ascii="Arial" w:eastAsia="Times New Roman" w:hAnsi="Arial" w:cs="Arial"/>
                <w:lang w:eastAsia="en-GB"/>
              </w:rPr>
              <w:t xml:space="preserve"> </w:t>
            </w:r>
            <w:r w:rsidR="00342BE0">
              <w:rPr>
                <w:rFonts w:ascii="Arial" w:eastAsia="Times New Roman" w:hAnsi="Arial" w:cs="Arial"/>
                <w:lang w:eastAsia="en-GB"/>
              </w:rPr>
              <w:t>H</w:t>
            </w:r>
            <w:r w:rsidRPr="00F15F33">
              <w:rPr>
                <w:rFonts w:ascii="Arial" w:eastAsia="Times New Roman" w:hAnsi="Arial" w:cs="Arial"/>
                <w:lang w:eastAsia="en-GB"/>
              </w:rPr>
              <w:t>owever</w:t>
            </w:r>
            <w:r w:rsidR="00342BE0">
              <w:rPr>
                <w:rFonts w:ascii="Arial" w:eastAsia="Times New Roman" w:hAnsi="Arial" w:cs="Arial"/>
                <w:lang w:eastAsia="en-GB"/>
              </w:rPr>
              <w:t>,</w:t>
            </w:r>
            <w:r w:rsidRPr="00F15F33">
              <w:rPr>
                <w:rFonts w:ascii="Arial" w:eastAsia="Times New Roman" w:hAnsi="Arial" w:cs="Arial"/>
                <w:lang w:eastAsia="en-GB"/>
              </w:rPr>
              <w:t xml:space="preserve"> this body does </w:t>
            </w:r>
            <w:r w:rsidRPr="00F15F33">
              <w:rPr>
                <w:rFonts w:ascii="Arial" w:eastAsia="Times New Roman" w:hAnsi="Arial" w:cs="Arial"/>
                <w:u w:val="single"/>
                <w:lang w:eastAsia="en-GB"/>
              </w:rPr>
              <w:t xml:space="preserve">not </w:t>
            </w:r>
            <w:r w:rsidRPr="00F15F33">
              <w:rPr>
                <w:rFonts w:ascii="Arial" w:eastAsia="Times New Roman" w:hAnsi="Arial" w:cs="Arial"/>
                <w:lang w:eastAsia="en-GB"/>
              </w:rPr>
              <w:t>look at admissions decisions</w:t>
            </w:r>
            <w:r w:rsidR="00342BE0">
              <w:rPr>
                <w:rFonts w:ascii="Arial" w:eastAsia="Times New Roman" w:hAnsi="Arial" w:cs="Arial"/>
                <w:lang w:eastAsia="en-GB"/>
              </w:rPr>
              <w:t>,</w:t>
            </w:r>
            <w:r w:rsidRPr="00F15F33">
              <w:rPr>
                <w:rFonts w:ascii="Arial" w:eastAsia="Times New Roman" w:hAnsi="Arial" w:cs="Arial"/>
                <w:lang w:eastAsia="en-GB"/>
              </w:rPr>
              <w:t xml:space="preserve"> so no referral to this agency can be made by the complainant.</w:t>
            </w:r>
          </w:p>
        </w:tc>
      </w:tr>
      <w:tr w:rsidR="00F15F33" w:rsidRPr="000B41D2" w14:paraId="51FC06DB" w14:textId="77777777" w:rsidTr="00F15F33">
        <w:trPr>
          <w:gridAfter w:val="1"/>
          <w:wAfter w:w="149" w:type="dxa"/>
          <w:tblCellSpacing w:w="15" w:type="dxa"/>
        </w:trPr>
        <w:tc>
          <w:tcPr>
            <w:tcW w:w="9759" w:type="dxa"/>
            <w:gridSpan w:val="2"/>
            <w:tcBorders>
              <w:top w:val="single" w:sz="6" w:space="0" w:color="DDDDDD"/>
              <w:left w:val="single" w:sz="6" w:space="0" w:color="DDDDDD"/>
              <w:bottom w:val="single" w:sz="6" w:space="0" w:color="DDDDDD"/>
            </w:tcBorders>
            <w:shd w:val="clear" w:color="auto" w:fill="FFFFFF" w:themeFill="background1"/>
            <w:tcMar>
              <w:top w:w="120" w:type="dxa"/>
              <w:left w:w="120" w:type="dxa"/>
              <w:bottom w:w="120" w:type="dxa"/>
              <w:right w:w="120" w:type="dxa"/>
            </w:tcMar>
          </w:tcPr>
          <w:p w14:paraId="45D686BE" w14:textId="77777777" w:rsidR="00F15F33" w:rsidRPr="000B41D2" w:rsidRDefault="00F15F33" w:rsidP="00AA1B08">
            <w:pPr>
              <w:spacing w:after="0" w:line="240" w:lineRule="auto"/>
              <w:rPr>
                <w:rFonts w:ascii="Arial" w:eastAsia="Times New Roman" w:hAnsi="Arial" w:cs="Arial"/>
                <w:b/>
                <w:bCs/>
                <w:sz w:val="24"/>
                <w:szCs w:val="24"/>
                <w:lang w:eastAsia="en-GB"/>
              </w:rPr>
            </w:pPr>
            <w:r w:rsidRPr="000B41D2">
              <w:rPr>
                <w:rFonts w:ascii="Arial" w:eastAsia="Times New Roman" w:hAnsi="Arial" w:cs="Arial"/>
                <w:b/>
                <w:bCs/>
                <w:sz w:val="24"/>
                <w:szCs w:val="24"/>
                <w:lang w:eastAsia="en-GB"/>
              </w:rPr>
              <w:t xml:space="preserve">Queen’s Review </w:t>
            </w:r>
          </w:p>
        </w:tc>
      </w:tr>
      <w:tr w:rsidR="00F15F33" w:rsidRPr="000B41D2" w14:paraId="47CD3BA5" w14:textId="77777777" w:rsidTr="00F15F33">
        <w:trPr>
          <w:tblCellSpacing w:w="15" w:type="dxa"/>
        </w:trPr>
        <w:tc>
          <w:tcPr>
            <w:tcW w:w="9938" w:type="dxa"/>
            <w:gridSpan w:val="3"/>
            <w:tcBorders>
              <w:top w:val="single" w:sz="6" w:space="0" w:color="DDDDDD"/>
              <w:left w:val="single" w:sz="6" w:space="0" w:color="DDDDDD"/>
              <w:bottom w:val="single" w:sz="6" w:space="0" w:color="DDDDDD"/>
            </w:tcBorders>
            <w:shd w:val="clear" w:color="auto" w:fill="FFFFFF" w:themeFill="background1"/>
            <w:tcMar>
              <w:top w:w="120" w:type="dxa"/>
              <w:left w:w="120" w:type="dxa"/>
              <w:bottom w:w="120" w:type="dxa"/>
              <w:right w:w="120" w:type="dxa"/>
            </w:tcMar>
          </w:tcPr>
          <w:p w14:paraId="4C9FE59C" w14:textId="77777777" w:rsidR="00F15F33" w:rsidRPr="00F15F33" w:rsidRDefault="00F15F33" w:rsidP="00F15F33">
            <w:pPr>
              <w:pStyle w:val="ListParagraph"/>
              <w:numPr>
                <w:ilvl w:val="0"/>
                <w:numId w:val="6"/>
              </w:numPr>
              <w:spacing w:after="0" w:line="240" w:lineRule="auto"/>
              <w:rPr>
                <w:rFonts w:ascii="Arial" w:eastAsia="Times New Roman" w:hAnsi="Arial" w:cs="Arial"/>
                <w:lang w:eastAsia="en-GB"/>
              </w:rPr>
            </w:pPr>
            <w:r w:rsidRPr="00F15F33">
              <w:rPr>
                <w:rFonts w:ascii="Arial" w:eastAsia="Times New Roman" w:hAnsi="Arial" w:cs="Arial"/>
                <w:lang w:eastAsia="en-GB"/>
              </w:rPr>
              <w:t>If procedural irregularities are identified by Durham University, the complaint might be referred back to the Queen’s for further review.</w:t>
            </w:r>
          </w:p>
          <w:p w14:paraId="2D387AA6" w14:textId="77777777" w:rsidR="00F15F33" w:rsidRPr="00F15F33" w:rsidRDefault="00F15F33" w:rsidP="00755EAD">
            <w:pPr>
              <w:spacing w:after="0" w:line="240" w:lineRule="auto"/>
              <w:rPr>
                <w:rFonts w:ascii="Arial" w:eastAsia="Times New Roman" w:hAnsi="Arial" w:cs="Arial"/>
                <w:lang w:eastAsia="en-GB"/>
              </w:rPr>
            </w:pPr>
          </w:p>
          <w:p w14:paraId="6AC5F823" w14:textId="77777777" w:rsidR="00F15F33" w:rsidRPr="00F15F33" w:rsidRDefault="00F15F33" w:rsidP="00F15F33">
            <w:pPr>
              <w:pStyle w:val="ListParagraph"/>
              <w:numPr>
                <w:ilvl w:val="0"/>
                <w:numId w:val="6"/>
              </w:numPr>
              <w:spacing w:after="0" w:line="240" w:lineRule="auto"/>
              <w:rPr>
                <w:rFonts w:ascii="Arial" w:eastAsia="Times New Roman" w:hAnsi="Arial" w:cs="Arial"/>
                <w:sz w:val="24"/>
                <w:szCs w:val="24"/>
                <w:lang w:eastAsia="en-GB"/>
              </w:rPr>
            </w:pPr>
            <w:r w:rsidRPr="00F15F33">
              <w:rPr>
                <w:rFonts w:ascii="Arial" w:eastAsia="Times New Roman" w:hAnsi="Arial" w:cs="Arial"/>
                <w:lang w:eastAsia="en-GB"/>
              </w:rPr>
              <w:t>Queen’s will repeat stage 2 focussing on t</w:t>
            </w:r>
            <w:r>
              <w:rPr>
                <w:rFonts w:ascii="Arial" w:eastAsia="Times New Roman" w:hAnsi="Arial" w:cs="Arial"/>
                <w:lang w:eastAsia="en-GB"/>
              </w:rPr>
              <w:t>he issues identified by Durham U</w:t>
            </w:r>
            <w:r w:rsidRPr="00F15F33">
              <w:rPr>
                <w:rFonts w:ascii="Arial" w:eastAsia="Times New Roman" w:hAnsi="Arial" w:cs="Arial"/>
                <w:lang w:eastAsia="en-GB"/>
              </w:rPr>
              <w:t>niversity and respond to the complainant accordingly.</w:t>
            </w:r>
          </w:p>
        </w:tc>
      </w:tr>
    </w:tbl>
    <w:p w14:paraId="2775F632" w14:textId="77777777" w:rsidR="000B41D2" w:rsidRPr="000B41D2" w:rsidRDefault="000B41D2" w:rsidP="00F15F33">
      <w:pPr>
        <w:spacing w:after="0" w:line="240" w:lineRule="auto"/>
        <w:rPr>
          <w:rFonts w:ascii="Arial" w:eastAsia="Times New Roman" w:hAnsi="Arial" w:cs="Arial"/>
          <w:color w:val="666699"/>
          <w:kern w:val="36"/>
          <w:sz w:val="43"/>
          <w:szCs w:val="43"/>
          <w:lang w:eastAsia="en-GB"/>
        </w:rPr>
      </w:pPr>
    </w:p>
    <w:sectPr w:rsidR="000B41D2" w:rsidRPr="000B41D2" w:rsidSect="00F15F33">
      <w:headerReference w:type="default" r:id="rId10"/>
      <w:footerReference w:type="default" r:id="rId11"/>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1E9C5" w14:textId="77777777" w:rsidR="00181321" w:rsidRDefault="00181321" w:rsidP="00AA1B08">
      <w:pPr>
        <w:spacing w:after="0" w:line="240" w:lineRule="auto"/>
      </w:pPr>
      <w:r>
        <w:separator/>
      </w:r>
    </w:p>
  </w:endnote>
  <w:endnote w:type="continuationSeparator" w:id="0">
    <w:p w14:paraId="31D45BF9" w14:textId="77777777" w:rsidR="00181321" w:rsidRDefault="00181321" w:rsidP="00AA1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751040"/>
      <w:docPartObj>
        <w:docPartGallery w:val="Page Numbers (Bottom of Page)"/>
        <w:docPartUnique/>
      </w:docPartObj>
    </w:sdtPr>
    <w:sdtEndPr>
      <w:rPr>
        <w:noProof/>
      </w:rPr>
    </w:sdtEndPr>
    <w:sdtContent>
      <w:p w14:paraId="2A95FE11" w14:textId="2B5160EB" w:rsidR="000B41D2" w:rsidRPr="00F15F33" w:rsidRDefault="000B41D2" w:rsidP="000B41D2">
        <w:pPr>
          <w:pStyle w:val="Footer"/>
          <w:jc w:val="center"/>
          <w:rPr>
            <w:sz w:val="16"/>
            <w:szCs w:val="16"/>
          </w:rPr>
        </w:pPr>
      </w:p>
      <w:p w14:paraId="5740A485" w14:textId="631060A8" w:rsidR="00AA1B08" w:rsidRDefault="004F299F">
        <w:pPr>
          <w:pStyle w:val="Footer"/>
          <w:jc w:val="center"/>
        </w:pPr>
        <w:r>
          <w:t>CA Admissions Complaints</w:t>
        </w:r>
        <w:r w:rsidR="00AA1B08">
          <w:t xml:space="preserve"> Policy </w:t>
        </w:r>
        <w:r>
          <w:t>reviewed/</w:t>
        </w:r>
        <w:r w:rsidR="00AA1B08">
          <w:t xml:space="preserve">approved by </w:t>
        </w:r>
        <w:r w:rsidR="000B41D2">
          <w:t xml:space="preserve">Admissions Committee </w:t>
        </w:r>
        <w:r>
          <w:t>September 2022</w:t>
        </w:r>
      </w:p>
      <w:p w14:paraId="65F4740E" w14:textId="77777777" w:rsidR="00AA1B08" w:rsidRPr="000B41D2" w:rsidRDefault="00AA1B08">
        <w:pPr>
          <w:pStyle w:val="Footer"/>
          <w:jc w:val="center"/>
          <w:rPr>
            <w:sz w:val="16"/>
            <w:szCs w:val="16"/>
          </w:rPr>
        </w:pPr>
      </w:p>
      <w:p w14:paraId="6E1532F2" w14:textId="77777777" w:rsidR="00AA1B08" w:rsidRDefault="00AA1B08">
        <w:pPr>
          <w:pStyle w:val="Footer"/>
          <w:jc w:val="center"/>
        </w:pPr>
        <w:r>
          <w:fldChar w:fldCharType="begin"/>
        </w:r>
        <w:r>
          <w:instrText xml:space="preserve"> PAGE   \* MERGEFORMAT </w:instrText>
        </w:r>
        <w:r>
          <w:fldChar w:fldCharType="separate"/>
        </w:r>
        <w:r w:rsidR="00F15F33">
          <w:rPr>
            <w:noProof/>
          </w:rPr>
          <w:t>2</w:t>
        </w:r>
        <w:r>
          <w:rPr>
            <w:noProof/>
          </w:rPr>
          <w:fldChar w:fldCharType="end"/>
        </w:r>
      </w:p>
    </w:sdtContent>
  </w:sdt>
  <w:p w14:paraId="3E506367" w14:textId="77777777" w:rsidR="00AA1B08" w:rsidRDefault="00AA1B08" w:rsidP="004F299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29A0D" w14:textId="77777777" w:rsidR="00181321" w:rsidRDefault="00181321" w:rsidP="00AA1B08">
      <w:pPr>
        <w:spacing w:after="0" w:line="240" w:lineRule="auto"/>
      </w:pPr>
      <w:r>
        <w:separator/>
      </w:r>
    </w:p>
  </w:footnote>
  <w:footnote w:type="continuationSeparator" w:id="0">
    <w:p w14:paraId="4E6AE784" w14:textId="77777777" w:rsidR="00181321" w:rsidRDefault="00181321" w:rsidP="00AA1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1090" w14:textId="77777777" w:rsidR="000B41D2" w:rsidRDefault="000B41D2" w:rsidP="000B41D2">
    <w:pPr>
      <w:pStyle w:val="Header"/>
      <w:jc w:val="center"/>
    </w:pPr>
    <w:r>
      <w:rPr>
        <w:noProof/>
        <w:lang w:eastAsia="en-GB"/>
      </w:rPr>
      <w:drawing>
        <wp:inline distT="0" distB="0" distL="0" distR="0" wp14:anchorId="36E00531" wp14:editId="4B33F96C">
          <wp:extent cx="3283585" cy="706755"/>
          <wp:effectExtent l="0" t="0" r="0" b="0"/>
          <wp:docPr id="1" name="Picture 1" descr="Queen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en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3585" cy="706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3699B"/>
    <w:multiLevelType w:val="hybridMultilevel"/>
    <w:tmpl w:val="7F5A32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AE0548"/>
    <w:multiLevelType w:val="hybridMultilevel"/>
    <w:tmpl w:val="AE3832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EB141D"/>
    <w:multiLevelType w:val="hybridMultilevel"/>
    <w:tmpl w:val="BCF453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40B6B"/>
    <w:multiLevelType w:val="hybridMultilevel"/>
    <w:tmpl w:val="4FAE52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91570A"/>
    <w:multiLevelType w:val="hybridMultilevel"/>
    <w:tmpl w:val="AD866C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963B8B"/>
    <w:multiLevelType w:val="hybridMultilevel"/>
    <w:tmpl w:val="16C850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872245">
    <w:abstractNumId w:val="1"/>
  </w:num>
  <w:num w:numId="2" w16cid:durableId="720131264">
    <w:abstractNumId w:val="3"/>
  </w:num>
  <w:num w:numId="3" w16cid:durableId="875435850">
    <w:abstractNumId w:val="0"/>
  </w:num>
  <w:num w:numId="4" w16cid:durableId="1932353713">
    <w:abstractNumId w:val="4"/>
  </w:num>
  <w:num w:numId="5" w16cid:durableId="840853870">
    <w:abstractNumId w:val="5"/>
  </w:num>
  <w:num w:numId="6" w16cid:durableId="813259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62"/>
    <w:rsid w:val="000B41D2"/>
    <w:rsid w:val="000F0004"/>
    <w:rsid w:val="00181321"/>
    <w:rsid w:val="001D34B4"/>
    <w:rsid w:val="001F0B62"/>
    <w:rsid w:val="00342BE0"/>
    <w:rsid w:val="00444252"/>
    <w:rsid w:val="004F299F"/>
    <w:rsid w:val="00516260"/>
    <w:rsid w:val="00566870"/>
    <w:rsid w:val="005C0321"/>
    <w:rsid w:val="00895169"/>
    <w:rsid w:val="00AA1B08"/>
    <w:rsid w:val="00C7066E"/>
    <w:rsid w:val="00D264B8"/>
    <w:rsid w:val="00EC008F"/>
    <w:rsid w:val="00EC2415"/>
    <w:rsid w:val="00F15F33"/>
    <w:rsid w:val="00F83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D316"/>
  <w15:docId w15:val="{B5AE684D-8D2C-4C52-AFBC-11899DBF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0B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1F0B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F0B6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B62"/>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1F0B62"/>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1F0B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F0B62"/>
  </w:style>
  <w:style w:type="character" w:styleId="Hyperlink">
    <w:name w:val="Hyperlink"/>
    <w:basedOn w:val="DefaultParagraphFont"/>
    <w:uiPriority w:val="99"/>
    <w:unhideWhenUsed/>
    <w:rsid w:val="001F0B62"/>
    <w:rPr>
      <w:color w:val="0000FF"/>
      <w:u w:val="single"/>
    </w:rPr>
  </w:style>
  <w:style w:type="character" w:customStyle="1" w:styleId="Heading2Char">
    <w:name w:val="Heading 2 Char"/>
    <w:basedOn w:val="DefaultParagraphFont"/>
    <w:link w:val="Heading2"/>
    <w:uiPriority w:val="9"/>
    <w:semiHidden/>
    <w:rsid w:val="001F0B62"/>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1F0B62"/>
    <w:rPr>
      <w:b/>
      <w:bCs/>
    </w:rPr>
  </w:style>
  <w:style w:type="paragraph" w:styleId="Header">
    <w:name w:val="header"/>
    <w:basedOn w:val="Normal"/>
    <w:link w:val="HeaderChar"/>
    <w:uiPriority w:val="99"/>
    <w:unhideWhenUsed/>
    <w:rsid w:val="00AA1B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B08"/>
  </w:style>
  <w:style w:type="paragraph" w:styleId="Footer">
    <w:name w:val="footer"/>
    <w:basedOn w:val="Normal"/>
    <w:link w:val="FooterChar"/>
    <w:uiPriority w:val="99"/>
    <w:unhideWhenUsed/>
    <w:rsid w:val="00AA1B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B08"/>
  </w:style>
  <w:style w:type="paragraph" w:styleId="ListParagraph">
    <w:name w:val="List Paragraph"/>
    <w:basedOn w:val="Normal"/>
    <w:uiPriority w:val="34"/>
    <w:qFormat/>
    <w:rsid w:val="00AA1B08"/>
    <w:pPr>
      <w:ind w:left="720"/>
      <w:contextualSpacing/>
    </w:pPr>
  </w:style>
  <w:style w:type="paragraph" w:styleId="BalloonText">
    <w:name w:val="Balloon Text"/>
    <w:basedOn w:val="Normal"/>
    <w:link w:val="BalloonTextChar"/>
    <w:uiPriority w:val="99"/>
    <w:semiHidden/>
    <w:unhideWhenUsed/>
    <w:rsid w:val="000B4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1D2"/>
    <w:rPr>
      <w:rFonts w:ascii="Tahoma" w:hAnsi="Tahoma" w:cs="Tahoma"/>
      <w:sz w:val="16"/>
      <w:szCs w:val="16"/>
    </w:rPr>
  </w:style>
  <w:style w:type="character" w:styleId="UnresolvedMention">
    <w:name w:val="Unresolved Mention"/>
    <w:basedOn w:val="DefaultParagraphFont"/>
    <w:uiPriority w:val="99"/>
    <w:semiHidden/>
    <w:unhideWhenUsed/>
    <w:rsid w:val="00EC0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5725">
      <w:bodyDiv w:val="1"/>
      <w:marLeft w:val="0"/>
      <w:marRight w:val="0"/>
      <w:marTop w:val="0"/>
      <w:marBottom w:val="0"/>
      <w:divBdr>
        <w:top w:val="none" w:sz="0" w:space="0" w:color="auto"/>
        <w:left w:val="none" w:sz="0" w:space="0" w:color="auto"/>
        <w:bottom w:val="none" w:sz="0" w:space="0" w:color="auto"/>
        <w:right w:val="none" w:sz="0" w:space="0" w:color="auto"/>
      </w:divBdr>
      <w:divsChild>
        <w:div w:id="1615867667">
          <w:marLeft w:val="0"/>
          <w:marRight w:val="0"/>
          <w:marTop w:val="0"/>
          <w:marBottom w:val="0"/>
          <w:divBdr>
            <w:top w:val="none" w:sz="0" w:space="0" w:color="auto"/>
            <w:left w:val="none" w:sz="0" w:space="0" w:color="auto"/>
            <w:bottom w:val="none" w:sz="0" w:space="0" w:color="auto"/>
            <w:right w:val="none" w:sz="0" w:space="0" w:color="auto"/>
          </w:divBdr>
          <w:divsChild>
            <w:div w:id="763915908">
              <w:marLeft w:val="0"/>
              <w:marRight w:val="0"/>
              <w:marTop w:val="0"/>
              <w:marBottom w:val="0"/>
              <w:divBdr>
                <w:top w:val="none" w:sz="0" w:space="0" w:color="auto"/>
                <w:left w:val="none" w:sz="0" w:space="0" w:color="auto"/>
                <w:bottom w:val="none" w:sz="0" w:space="0" w:color="auto"/>
                <w:right w:val="none" w:sz="0" w:space="0" w:color="auto"/>
              </w:divBdr>
            </w:div>
            <w:div w:id="1674071440">
              <w:marLeft w:val="0"/>
              <w:marRight w:val="0"/>
              <w:marTop w:val="0"/>
              <w:marBottom w:val="0"/>
              <w:divBdr>
                <w:top w:val="none" w:sz="0" w:space="0" w:color="auto"/>
                <w:left w:val="none" w:sz="0" w:space="0" w:color="auto"/>
                <w:bottom w:val="none" w:sz="0" w:space="0" w:color="auto"/>
                <w:right w:val="none" w:sz="0" w:space="0" w:color="auto"/>
              </w:divBdr>
            </w:div>
            <w:div w:id="1053114694">
              <w:marLeft w:val="0"/>
              <w:marRight w:val="0"/>
              <w:marTop w:val="0"/>
              <w:marBottom w:val="0"/>
              <w:divBdr>
                <w:top w:val="none" w:sz="0" w:space="0" w:color="auto"/>
                <w:left w:val="none" w:sz="0" w:space="0" w:color="auto"/>
                <w:bottom w:val="none" w:sz="0" w:space="0" w:color="auto"/>
                <w:right w:val="none" w:sz="0" w:space="0" w:color="auto"/>
              </w:divBdr>
            </w:div>
            <w:div w:id="1044870592">
              <w:marLeft w:val="0"/>
              <w:marRight w:val="0"/>
              <w:marTop w:val="0"/>
              <w:marBottom w:val="0"/>
              <w:divBdr>
                <w:top w:val="none" w:sz="0" w:space="0" w:color="auto"/>
                <w:left w:val="none" w:sz="0" w:space="0" w:color="auto"/>
                <w:bottom w:val="none" w:sz="0" w:space="0" w:color="auto"/>
                <w:right w:val="none" w:sz="0" w:space="0" w:color="auto"/>
              </w:divBdr>
            </w:div>
            <w:div w:id="1863474231">
              <w:marLeft w:val="0"/>
              <w:marRight w:val="0"/>
              <w:marTop w:val="0"/>
              <w:marBottom w:val="0"/>
              <w:divBdr>
                <w:top w:val="none" w:sz="0" w:space="0" w:color="auto"/>
                <w:left w:val="none" w:sz="0" w:space="0" w:color="auto"/>
                <w:bottom w:val="none" w:sz="0" w:space="0" w:color="auto"/>
                <w:right w:val="none" w:sz="0" w:space="0" w:color="auto"/>
              </w:divBdr>
            </w:div>
            <w:div w:id="138321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79729">
      <w:bodyDiv w:val="1"/>
      <w:marLeft w:val="0"/>
      <w:marRight w:val="0"/>
      <w:marTop w:val="0"/>
      <w:marBottom w:val="0"/>
      <w:divBdr>
        <w:top w:val="none" w:sz="0" w:space="0" w:color="auto"/>
        <w:left w:val="none" w:sz="0" w:space="0" w:color="auto"/>
        <w:bottom w:val="none" w:sz="0" w:space="0" w:color="auto"/>
        <w:right w:val="none" w:sz="0" w:space="0" w:color="auto"/>
      </w:divBdr>
      <w:divsChild>
        <w:div w:id="571736557">
          <w:marLeft w:val="0"/>
          <w:marRight w:val="0"/>
          <w:marTop w:val="0"/>
          <w:marBottom w:val="0"/>
          <w:divBdr>
            <w:top w:val="none" w:sz="0" w:space="0" w:color="auto"/>
            <w:left w:val="none" w:sz="0" w:space="0" w:color="auto"/>
            <w:bottom w:val="none" w:sz="0" w:space="0" w:color="auto"/>
            <w:right w:val="none" w:sz="0" w:space="0" w:color="auto"/>
          </w:divBdr>
          <w:divsChild>
            <w:div w:id="1087772501">
              <w:marLeft w:val="0"/>
              <w:marRight w:val="0"/>
              <w:marTop w:val="0"/>
              <w:marBottom w:val="0"/>
              <w:divBdr>
                <w:top w:val="none" w:sz="0" w:space="0" w:color="auto"/>
                <w:left w:val="none" w:sz="0" w:space="0" w:color="auto"/>
                <w:bottom w:val="none" w:sz="0" w:space="0" w:color="auto"/>
                <w:right w:val="none" w:sz="0" w:space="0" w:color="auto"/>
              </w:divBdr>
            </w:div>
            <w:div w:id="8604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ymanager@queens.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urham.ac.uk/study/admissions-poli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incipal@queens.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Onion</dc:creator>
  <cp:lastModifiedBy>David Allen</cp:lastModifiedBy>
  <cp:revision>5</cp:revision>
  <cp:lastPrinted>2015-05-18T16:32:00Z</cp:lastPrinted>
  <dcterms:created xsi:type="dcterms:W3CDTF">2022-08-31T08:48:00Z</dcterms:created>
  <dcterms:modified xsi:type="dcterms:W3CDTF">2022-08-31T09:00:00Z</dcterms:modified>
</cp:coreProperties>
</file>