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7AFA" w14:textId="70C1A4C5" w:rsidR="00C24E5E" w:rsidRPr="00C24E5E" w:rsidRDefault="00C24E5E" w:rsidP="00C24E5E">
      <w:pPr>
        <w:jc w:val="both"/>
        <w:cnfStyle w:val="100000000000" w:firstRow="1" w:lastRow="0" w:firstColumn="0" w:lastColumn="0" w:oddVBand="0" w:evenVBand="0" w:oddHBand="0" w:evenHBand="0" w:firstRowFirstColumn="0" w:firstRowLastColumn="0" w:lastRowFirstColumn="0" w:lastRowLastColumn="0"/>
        <w:rPr>
          <w:rFonts w:cs="Arial"/>
          <w:szCs w:val="22"/>
        </w:rPr>
      </w:pPr>
      <w:r w:rsidRPr="00C24E5E">
        <w:rPr>
          <w:rFonts w:cs="Arial"/>
          <w:szCs w:val="22"/>
        </w:rPr>
        <w:t xml:space="preserve">Provider’s name: </w:t>
      </w:r>
      <w:r w:rsidRPr="00C24E5E">
        <w:rPr>
          <w:rFonts w:cs="Arial"/>
          <w:szCs w:val="22"/>
        </w:rPr>
        <w:tab/>
      </w:r>
      <w:r w:rsidRPr="00C24E5E">
        <w:rPr>
          <w:rFonts w:cs="Arial"/>
          <w:szCs w:val="22"/>
        </w:rPr>
        <w:t>The Queen’s Foundation for Ecumenical Theological Education</w:t>
      </w:r>
    </w:p>
    <w:p w14:paraId="028873F8" w14:textId="77777777" w:rsidR="008702F4" w:rsidRDefault="008702F4" w:rsidP="00C24E5E">
      <w:pPr>
        <w:jc w:val="both"/>
        <w:cnfStyle w:val="100000000000" w:firstRow="1" w:lastRow="0" w:firstColumn="0" w:lastColumn="0" w:oddVBand="0" w:evenVBand="0" w:oddHBand="0" w:evenHBand="0" w:firstRowFirstColumn="0" w:firstRowLastColumn="0" w:lastRowFirstColumn="0" w:lastRowLastColumn="0"/>
        <w:rPr>
          <w:rFonts w:cs="Arial"/>
          <w:szCs w:val="22"/>
        </w:rPr>
      </w:pPr>
    </w:p>
    <w:p w14:paraId="4D87C307" w14:textId="30F001F9" w:rsidR="00C24E5E" w:rsidRDefault="00C24E5E" w:rsidP="00C24E5E">
      <w:pPr>
        <w:jc w:val="both"/>
        <w:cnfStyle w:val="100000000000" w:firstRow="1" w:lastRow="0" w:firstColumn="0" w:lastColumn="0" w:oddVBand="0" w:evenVBand="0" w:oddHBand="0" w:evenHBand="0" w:firstRowFirstColumn="0" w:firstRowLastColumn="0" w:lastRowFirstColumn="0" w:lastRowLastColumn="0"/>
        <w:rPr>
          <w:rFonts w:cs="Arial"/>
          <w:szCs w:val="22"/>
        </w:rPr>
      </w:pPr>
      <w:r w:rsidRPr="00C24E5E">
        <w:rPr>
          <w:rFonts w:cs="Arial"/>
          <w:szCs w:val="22"/>
        </w:rPr>
        <w:t xml:space="preserve">Provider’s UKPRN: </w:t>
      </w:r>
      <w:r w:rsidRPr="00C24E5E">
        <w:rPr>
          <w:rFonts w:cs="Arial"/>
          <w:szCs w:val="22"/>
        </w:rPr>
        <w:tab/>
      </w:r>
      <w:r w:rsidRPr="00C24E5E">
        <w:rPr>
          <w:rFonts w:cs="Arial"/>
          <w:szCs w:val="22"/>
        </w:rPr>
        <w:t>10032282</w:t>
      </w:r>
    </w:p>
    <w:p w14:paraId="500C3732" w14:textId="77777777" w:rsidR="00C24E5E" w:rsidRPr="00C24E5E" w:rsidRDefault="00C24E5E" w:rsidP="00C24E5E">
      <w:pPr>
        <w:jc w:val="both"/>
        <w:cnfStyle w:val="100000000000" w:firstRow="1" w:lastRow="0" w:firstColumn="0" w:lastColumn="0" w:oddVBand="0" w:evenVBand="0" w:oddHBand="0" w:evenHBand="0" w:firstRowFirstColumn="0" w:firstRowLastColumn="0" w:lastRowFirstColumn="0" w:lastRowLastColumn="0"/>
        <w:rPr>
          <w:rFonts w:cs="Arial"/>
          <w:szCs w:val="22"/>
        </w:rPr>
      </w:pPr>
    </w:p>
    <w:p w14:paraId="5EF9C892" w14:textId="7FAE6B80" w:rsidR="00C24E5E" w:rsidRDefault="00C24E5E" w:rsidP="00C24E5E">
      <w:pPr>
        <w:jc w:val="both"/>
        <w:cnfStyle w:val="100000000000" w:firstRow="1" w:lastRow="0" w:firstColumn="0" w:lastColumn="0" w:oddVBand="0" w:evenVBand="0" w:oddHBand="0" w:evenHBand="0" w:firstRowFirstColumn="0" w:firstRowLastColumn="0" w:lastRowFirstColumn="0" w:lastRowLastColumn="0"/>
        <w:rPr>
          <w:rFonts w:cs="Arial"/>
          <w:szCs w:val="22"/>
        </w:rPr>
      </w:pPr>
      <w:r w:rsidRPr="00C24E5E">
        <w:rPr>
          <w:rFonts w:cs="Arial"/>
          <w:szCs w:val="22"/>
        </w:rPr>
        <w:t xml:space="preserve">Legal address: </w:t>
      </w:r>
      <w:r w:rsidRPr="00C24E5E">
        <w:rPr>
          <w:rFonts w:cs="Arial"/>
          <w:szCs w:val="22"/>
        </w:rPr>
        <w:tab/>
      </w:r>
      <w:r w:rsidRPr="00C24E5E">
        <w:rPr>
          <w:rFonts w:cs="Arial"/>
          <w:szCs w:val="22"/>
        </w:rPr>
        <w:t>Somerset Road, Edgbaston, Birmingham, B15 2QH</w:t>
      </w:r>
    </w:p>
    <w:p w14:paraId="615F14BE" w14:textId="77777777" w:rsidR="00C24E5E" w:rsidRPr="00C24E5E" w:rsidRDefault="00C24E5E" w:rsidP="00C24E5E">
      <w:pPr>
        <w:jc w:val="both"/>
        <w:cnfStyle w:val="100000000000" w:firstRow="1" w:lastRow="0" w:firstColumn="0" w:lastColumn="0" w:oddVBand="0" w:evenVBand="0" w:oddHBand="0" w:evenHBand="0" w:firstRowFirstColumn="0" w:firstRowLastColumn="0" w:lastRowFirstColumn="0" w:lastRowLastColumn="0"/>
        <w:rPr>
          <w:rFonts w:cs="Arial"/>
          <w:szCs w:val="22"/>
        </w:rPr>
      </w:pPr>
    </w:p>
    <w:p w14:paraId="1BB21B22" w14:textId="4A1CEA99" w:rsidR="00C24E5E" w:rsidRPr="00C24E5E" w:rsidRDefault="00C24E5E" w:rsidP="00C24E5E">
      <w:pPr>
        <w:pStyle w:val="Heading2"/>
        <w:spacing w:before="0" w:after="0" w:line="240" w:lineRule="auto"/>
        <w:jc w:val="both"/>
        <w:rPr>
          <w:rFonts w:cs="Arial"/>
          <w:b w:val="0"/>
          <w:color w:val="auto"/>
          <w:sz w:val="22"/>
          <w:szCs w:val="22"/>
        </w:rPr>
      </w:pPr>
      <w:r w:rsidRPr="00C24E5E">
        <w:rPr>
          <w:rFonts w:cs="Arial"/>
          <w:b w:val="0"/>
          <w:color w:val="auto"/>
          <w:sz w:val="22"/>
          <w:szCs w:val="22"/>
        </w:rPr>
        <w:t xml:space="preserve">Contact point for </w:t>
      </w:r>
    </w:p>
    <w:p w14:paraId="74A98B38" w14:textId="0B177161" w:rsidR="008236D6" w:rsidRPr="00C24E5E" w:rsidRDefault="00C24E5E" w:rsidP="00C24E5E">
      <w:pPr>
        <w:pStyle w:val="Heading2"/>
        <w:spacing w:before="0" w:after="0" w:line="240" w:lineRule="auto"/>
        <w:jc w:val="both"/>
        <w:rPr>
          <w:rFonts w:cs="Arial"/>
          <w:color w:val="auto"/>
          <w:szCs w:val="22"/>
        </w:rPr>
      </w:pPr>
      <w:r w:rsidRPr="00C24E5E">
        <w:rPr>
          <w:rFonts w:cs="Arial"/>
          <w:b w:val="0"/>
          <w:color w:val="auto"/>
          <w:sz w:val="22"/>
          <w:szCs w:val="22"/>
        </w:rPr>
        <w:t xml:space="preserve">SPP </w:t>
      </w:r>
      <w:r w:rsidRPr="00C24E5E">
        <w:rPr>
          <w:rFonts w:cs="Arial"/>
          <w:b w:val="0"/>
          <w:color w:val="auto"/>
          <w:sz w:val="22"/>
          <w:szCs w:val="22"/>
        </w:rPr>
        <w:t>enquiries</w:t>
      </w:r>
      <w:r w:rsidRPr="00C24E5E">
        <w:rPr>
          <w:rFonts w:cs="Arial"/>
          <w:b w:val="0"/>
          <w:color w:val="auto"/>
          <w:sz w:val="22"/>
          <w:szCs w:val="22"/>
        </w:rPr>
        <w:t>:</w:t>
      </w:r>
      <w:r w:rsidRPr="00C24E5E">
        <w:rPr>
          <w:rFonts w:cs="Arial"/>
          <w:b w:val="0"/>
          <w:color w:val="auto"/>
          <w:sz w:val="22"/>
          <w:szCs w:val="22"/>
        </w:rPr>
        <w:tab/>
      </w:r>
      <w:r w:rsidRPr="00C24E5E">
        <w:rPr>
          <w:rFonts w:cs="Arial"/>
          <w:b w:val="0"/>
          <w:color w:val="auto"/>
          <w:sz w:val="22"/>
          <w:szCs w:val="22"/>
        </w:rPr>
        <w:t>Katherine Onion, Director of Operations.</w:t>
      </w:r>
    </w:p>
    <w:p w14:paraId="24286330" w14:textId="77777777" w:rsidR="00C24E5E" w:rsidRPr="00C24E5E" w:rsidRDefault="00C24E5E" w:rsidP="00442A4C">
      <w:pPr>
        <w:jc w:val="both"/>
        <w:rPr>
          <w:rFonts w:cs="Arial"/>
          <w:bCs/>
          <w:szCs w:val="22"/>
        </w:rPr>
      </w:pPr>
    </w:p>
    <w:p w14:paraId="5ABE1C5A" w14:textId="08CADDE4" w:rsidR="008236D6" w:rsidRDefault="008236D6" w:rsidP="008236D6">
      <w:pPr>
        <w:jc w:val="both"/>
        <w:rPr>
          <w:rFonts w:cs="Arial"/>
          <w:bCs/>
          <w:szCs w:val="22"/>
          <w:lang w:val="en-US"/>
        </w:rPr>
      </w:pPr>
      <w:r w:rsidRPr="008236D6">
        <w:rPr>
          <w:rFonts w:cs="Arial"/>
          <w:bCs/>
          <w:szCs w:val="22"/>
          <w:lang w:val="en-US"/>
        </w:rPr>
        <w:t xml:space="preserve">The aim of this Student Protection Plan is to </w:t>
      </w:r>
      <w:r>
        <w:rPr>
          <w:rFonts w:cs="Arial"/>
          <w:bCs/>
          <w:szCs w:val="22"/>
          <w:lang w:val="en-US"/>
        </w:rPr>
        <w:t xml:space="preserve">lay out </w:t>
      </w:r>
      <w:r w:rsidR="00F01FFB">
        <w:rPr>
          <w:rFonts w:cs="Arial"/>
          <w:bCs/>
          <w:szCs w:val="22"/>
          <w:lang w:val="en-US"/>
        </w:rPr>
        <w:t>a</w:t>
      </w:r>
      <w:r>
        <w:rPr>
          <w:rFonts w:cs="Arial"/>
          <w:bCs/>
          <w:szCs w:val="22"/>
          <w:lang w:val="en-US"/>
        </w:rPr>
        <w:t xml:space="preserve"> risk assessment of the factors that impact upon the ongoing delivery of </w:t>
      </w:r>
      <w:r w:rsidR="00F01FFB">
        <w:rPr>
          <w:rFonts w:cs="Arial"/>
          <w:bCs/>
          <w:szCs w:val="22"/>
          <w:lang w:val="en-US"/>
        </w:rPr>
        <w:t xml:space="preserve">a </w:t>
      </w:r>
      <w:r>
        <w:rPr>
          <w:rFonts w:cs="Arial"/>
          <w:bCs/>
          <w:szCs w:val="22"/>
          <w:lang w:val="en-US"/>
        </w:rPr>
        <w:t>student</w:t>
      </w:r>
      <w:r w:rsidR="005D3753">
        <w:rPr>
          <w:rFonts w:cs="Arial"/>
          <w:bCs/>
          <w:szCs w:val="22"/>
          <w:lang w:val="en-US"/>
        </w:rPr>
        <w:t xml:space="preserve">’s programme of study. It similarly </w:t>
      </w:r>
      <w:r w:rsidRPr="008236D6">
        <w:rPr>
          <w:rFonts w:cs="Arial"/>
          <w:bCs/>
          <w:szCs w:val="22"/>
          <w:lang w:val="en-US"/>
        </w:rPr>
        <w:t>set</w:t>
      </w:r>
      <w:r w:rsidR="005D3753">
        <w:rPr>
          <w:rFonts w:cs="Arial"/>
          <w:bCs/>
          <w:szCs w:val="22"/>
          <w:lang w:val="en-US"/>
        </w:rPr>
        <w:t>s</w:t>
      </w:r>
      <w:r w:rsidRPr="008236D6">
        <w:rPr>
          <w:rFonts w:cs="Arial"/>
          <w:bCs/>
          <w:szCs w:val="22"/>
          <w:lang w:val="en-US"/>
        </w:rPr>
        <w:t xml:space="preserve"> out the actions that the </w:t>
      </w:r>
      <w:r>
        <w:rPr>
          <w:rFonts w:cs="Arial"/>
          <w:bCs/>
          <w:szCs w:val="22"/>
          <w:lang w:val="en-US"/>
        </w:rPr>
        <w:t xml:space="preserve">Foundation </w:t>
      </w:r>
      <w:r w:rsidRPr="008236D6">
        <w:rPr>
          <w:rFonts w:cs="Arial"/>
          <w:bCs/>
          <w:szCs w:val="22"/>
          <w:lang w:val="en-US"/>
        </w:rPr>
        <w:t>will take in the event of a material change in circumstances (such as a major incident) to protect the student interest</w:t>
      </w:r>
      <w:r w:rsidR="005D3753">
        <w:rPr>
          <w:rFonts w:cs="Arial"/>
          <w:bCs/>
          <w:szCs w:val="22"/>
          <w:lang w:val="en-US"/>
        </w:rPr>
        <w:t>,</w:t>
      </w:r>
      <w:r w:rsidRPr="008236D6">
        <w:rPr>
          <w:rFonts w:cs="Arial"/>
          <w:bCs/>
          <w:szCs w:val="22"/>
          <w:lang w:val="en-US"/>
        </w:rPr>
        <w:t xml:space="preserve"> and to ensure that students are able to complete their programmes. </w:t>
      </w:r>
    </w:p>
    <w:p w14:paraId="5EA5228E" w14:textId="77777777" w:rsidR="008236D6" w:rsidRDefault="008236D6" w:rsidP="008236D6">
      <w:pPr>
        <w:jc w:val="both"/>
        <w:rPr>
          <w:rFonts w:cs="Arial"/>
          <w:bCs/>
          <w:szCs w:val="22"/>
          <w:lang w:val="en-US"/>
        </w:rPr>
      </w:pPr>
    </w:p>
    <w:p w14:paraId="6798A93C" w14:textId="70F13D38" w:rsidR="008236D6" w:rsidRPr="008236D6" w:rsidRDefault="008236D6" w:rsidP="008236D6">
      <w:pPr>
        <w:jc w:val="both"/>
        <w:rPr>
          <w:rFonts w:cs="Arial"/>
          <w:bCs/>
          <w:szCs w:val="22"/>
          <w:lang w:val="en-US"/>
        </w:rPr>
      </w:pPr>
      <w:r w:rsidRPr="008236D6">
        <w:rPr>
          <w:rFonts w:cs="Arial"/>
          <w:bCs/>
          <w:szCs w:val="22"/>
          <w:lang w:val="en-US"/>
        </w:rPr>
        <w:t xml:space="preserve">In so doing, the </w:t>
      </w:r>
      <w:r w:rsidR="005D3753">
        <w:rPr>
          <w:rFonts w:cs="Arial"/>
          <w:bCs/>
          <w:szCs w:val="22"/>
          <w:lang w:val="en-US"/>
        </w:rPr>
        <w:t>Foundation</w:t>
      </w:r>
      <w:r w:rsidRPr="008236D6">
        <w:rPr>
          <w:rFonts w:cs="Arial"/>
          <w:bCs/>
          <w:szCs w:val="22"/>
          <w:lang w:val="en-US"/>
        </w:rPr>
        <w:t xml:space="preserve"> will work together</w:t>
      </w:r>
      <w:r w:rsidR="005D3753">
        <w:rPr>
          <w:rFonts w:cs="Arial"/>
          <w:bCs/>
          <w:szCs w:val="22"/>
          <w:lang w:val="en-US"/>
        </w:rPr>
        <w:t xml:space="preserve"> with the student’s validating university, their sponsoring church (if applicable), and</w:t>
      </w:r>
      <w:r w:rsidRPr="008236D6">
        <w:rPr>
          <w:rFonts w:cs="Arial"/>
          <w:bCs/>
          <w:szCs w:val="22"/>
          <w:lang w:val="en-US"/>
        </w:rPr>
        <w:t xml:space="preserve"> </w:t>
      </w:r>
      <w:r w:rsidR="005D3753">
        <w:rPr>
          <w:rFonts w:cs="Arial"/>
          <w:bCs/>
          <w:szCs w:val="22"/>
          <w:lang w:val="en-US"/>
        </w:rPr>
        <w:t xml:space="preserve">other external bodies </w:t>
      </w:r>
      <w:r w:rsidRPr="008236D6">
        <w:rPr>
          <w:rFonts w:cs="Arial"/>
          <w:bCs/>
          <w:szCs w:val="22"/>
          <w:lang w:val="en-US"/>
        </w:rPr>
        <w:t xml:space="preserve">to ensure that students are able to achieve the best possible outcomes. The Plan has been designed to meet the requirements for registration with the Office for Students and should be read in conjunction with the </w:t>
      </w:r>
      <w:r w:rsidR="005D3753">
        <w:rPr>
          <w:rFonts w:cs="Arial"/>
          <w:bCs/>
          <w:szCs w:val="22"/>
          <w:lang w:val="en-US"/>
        </w:rPr>
        <w:t>Foundation</w:t>
      </w:r>
      <w:r w:rsidRPr="008236D6">
        <w:rPr>
          <w:rFonts w:cs="Arial"/>
          <w:bCs/>
          <w:szCs w:val="22"/>
          <w:lang w:val="en-US"/>
        </w:rPr>
        <w:t xml:space="preserve">’s Refunds &amp; Compensation Policy. </w:t>
      </w:r>
    </w:p>
    <w:p w14:paraId="274ECA26" w14:textId="77777777" w:rsidR="008236D6" w:rsidRDefault="008236D6" w:rsidP="00442A4C">
      <w:pPr>
        <w:jc w:val="both"/>
        <w:rPr>
          <w:rFonts w:cs="Arial"/>
          <w:b/>
          <w:bCs/>
          <w:szCs w:val="22"/>
        </w:rPr>
      </w:pPr>
    </w:p>
    <w:p w14:paraId="29B58A5E" w14:textId="09B51693" w:rsidR="001E6448" w:rsidRPr="00172FB0" w:rsidRDefault="001E6448" w:rsidP="001E6448">
      <w:pPr>
        <w:pStyle w:val="ListParagraph"/>
        <w:numPr>
          <w:ilvl w:val="0"/>
          <w:numId w:val="9"/>
        </w:numPr>
        <w:jc w:val="both"/>
        <w:rPr>
          <w:rFonts w:cs="Arial"/>
          <w:b/>
          <w:sz w:val="28"/>
          <w:szCs w:val="28"/>
        </w:rPr>
      </w:pPr>
      <w:r>
        <w:rPr>
          <w:rFonts w:cs="Arial"/>
          <w:b/>
          <w:sz w:val="28"/>
          <w:szCs w:val="28"/>
        </w:rPr>
        <w:t>Risk Assessment</w:t>
      </w:r>
    </w:p>
    <w:p w14:paraId="08FB43F8" w14:textId="688CA5D9" w:rsidR="001E6448" w:rsidRDefault="00EA4E3F" w:rsidP="00442A4C">
      <w:pPr>
        <w:ind w:left="82"/>
        <w:jc w:val="both"/>
        <w:rPr>
          <w:rFonts w:cs="Arial"/>
          <w:szCs w:val="22"/>
        </w:rPr>
      </w:pPr>
      <w:r w:rsidRPr="00EA4E3F">
        <w:rPr>
          <w:rFonts w:cs="Arial"/>
          <w:szCs w:val="22"/>
        </w:rPr>
        <w:t>The Finance and General Purposes committee</w:t>
      </w:r>
      <w:r>
        <w:rPr>
          <w:rFonts w:cs="Arial"/>
          <w:szCs w:val="22"/>
        </w:rPr>
        <w:t xml:space="preserve"> of the Governi</w:t>
      </w:r>
      <w:r w:rsidR="001E6448">
        <w:rPr>
          <w:rFonts w:cs="Arial"/>
          <w:szCs w:val="22"/>
        </w:rPr>
        <w:t>n</w:t>
      </w:r>
      <w:r>
        <w:rPr>
          <w:rFonts w:cs="Arial"/>
          <w:szCs w:val="22"/>
        </w:rPr>
        <w:t xml:space="preserve">g </w:t>
      </w:r>
      <w:r w:rsidR="001E6448">
        <w:rPr>
          <w:rFonts w:cs="Arial"/>
          <w:szCs w:val="22"/>
        </w:rPr>
        <w:t>Body</w:t>
      </w:r>
      <w:r w:rsidRPr="00EA4E3F">
        <w:rPr>
          <w:rFonts w:cs="Arial"/>
          <w:szCs w:val="22"/>
        </w:rPr>
        <w:t xml:space="preserve"> </w:t>
      </w:r>
      <w:r w:rsidR="00F01FFB">
        <w:rPr>
          <w:rFonts w:cs="Arial"/>
          <w:szCs w:val="22"/>
        </w:rPr>
        <w:t xml:space="preserve">(F&amp;GP) </w:t>
      </w:r>
      <w:r w:rsidRPr="00EA4E3F">
        <w:rPr>
          <w:rFonts w:cs="Arial"/>
          <w:szCs w:val="22"/>
        </w:rPr>
        <w:t xml:space="preserve">review and set the </w:t>
      </w:r>
      <w:r w:rsidR="001E6448">
        <w:rPr>
          <w:rFonts w:cs="Arial"/>
          <w:szCs w:val="22"/>
        </w:rPr>
        <w:t xml:space="preserve">Foundation’s </w:t>
      </w:r>
      <w:r w:rsidRPr="00EA4E3F">
        <w:rPr>
          <w:rFonts w:cs="Arial"/>
          <w:szCs w:val="22"/>
        </w:rPr>
        <w:t xml:space="preserve">risk register annually, alongside the annual budget setting process.  The decision-making process of the Leadership </w:t>
      </w:r>
      <w:r w:rsidR="001E6448">
        <w:rPr>
          <w:rFonts w:cs="Arial"/>
          <w:szCs w:val="22"/>
        </w:rPr>
        <w:t>T</w:t>
      </w:r>
      <w:r w:rsidRPr="00EA4E3F">
        <w:rPr>
          <w:rFonts w:cs="Arial"/>
          <w:szCs w:val="22"/>
        </w:rPr>
        <w:t xml:space="preserve">eam operates within the parameters of this register.  </w:t>
      </w:r>
    </w:p>
    <w:p w14:paraId="6F64C458" w14:textId="77777777" w:rsidR="001E6448" w:rsidRDefault="001E6448" w:rsidP="00442A4C">
      <w:pPr>
        <w:ind w:left="82"/>
        <w:jc w:val="both"/>
        <w:rPr>
          <w:rFonts w:cs="Arial"/>
          <w:szCs w:val="22"/>
        </w:rPr>
      </w:pPr>
    </w:p>
    <w:p w14:paraId="053FD53B" w14:textId="61966715" w:rsidR="004B3DEC" w:rsidRPr="00451E6E" w:rsidRDefault="004B3DEC" w:rsidP="00442A4C">
      <w:pPr>
        <w:ind w:left="82"/>
        <w:jc w:val="both"/>
        <w:rPr>
          <w:rFonts w:cs="Arial"/>
          <w:szCs w:val="22"/>
        </w:rPr>
      </w:pPr>
      <w:r w:rsidRPr="00451E6E">
        <w:rPr>
          <w:rFonts w:cs="Arial"/>
          <w:szCs w:val="22"/>
        </w:rPr>
        <w:t xml:space="preserve">Our overall assessment of the risk </w:t>
      </w:r>
      <w:r w:rsidR="001E6448">
        <w:rPr>
          <w:rFonts w:cs="Arial"/>
          <w:szCs w:val="22"/>
        </w:rPr>
        <w:t xml:space="preserve">for </w:t>
      </w:r>
      <w:r w:rsidRPr="00451E6E">
        <w:rPr>
          <w:rFonts w:cs="Arial"/>
          <w:bCs/>
          <w:szCs w:val="22"/>
        </w:rPr>
        <w:t>the continuation of study for our students</w:t>
      </w:r>
      <w:r w:rsidR="00451E6E" w:rsidRPr="00451E6E">
        <w:rPr>
          <w:rFonts w:cs="Arial"/>
          <w:bCs/>
          <w:szCs w:val="22"/>
        </w:rPr>
        <w:t xml:space="preserve"> is </w:t>
      </w:r>
      <w:r w:rsidR="00451E6E" w:rsidRPr="00182402">
        <w:rPr>
          <w:rFonts w:cs="Arial"/>
          <w:b/>
          <w:bCs/>
          <w:szCs w:val="22"/>
        </w:rPr>
        <w:t>low</w:t>
      </w:r>
      <w:r w:rsidR="00451E6E">
        <w:rPr>
          <w:rFonts w:cs="Arial"/>
          <w:bCs/>
          <w:szCs w:val="22"/>
        </w:rPr>
        <w:t xml:space="preserve">. </w:t>
      </w:r>
      <w:r w:rsidR="00182402">
        <w:rPr>
          <w:rFonts w:cs="Arial"/>
          <w:bCs/>
          <w:szCs w:val="22"/>
        </w:rPr>
        <w:t xml:space="preserve">The process for arriving at this </w:t>
      </w:r>
      <w:r w:rsidR="00451E6E">
        <w:rPr>
          <w:rFonts w:cs="Arial"/>
          <w:bCs/>
          <w:szCs w:val="22"/>
        </w:rPr>
        <w:t>assessment</w:t>
      </w:r>
      <w:r w:rsidR="00182402">
        <w:rPr>
          <w:rFonts w:cs="Arial"/>
          <w:bCs/>
          <w:szCs w:val="22"/>
        </w:rPr>
        <w:t>,</w:t>
      </w:r>
      <w:r w:rsidR="00451E6E">
        <w:rPr>
          <w:rFonts w:cs="Arial"/>
          <w:bCs/>
          <w:szCs w:val="22"/>
        </w:rPr>
        <w:t xml:space="preserve"> and</w:t>
      </w:r>
      <w:r w:rsidR="00F01FFB">
        <w:rPr>
          <w:rFonts w:cs="Arial"/>
          <w:bCs/>
          <w:szCs w:val="22"/>
        </w:rPr>
        <w:t xml:space="preserve"> the</w:t>
      </w:r>
      <w:r w:rsidR="00451E6E">
        <w:rPr>
          <w:rFonts w:cs="Arial"/>
          <w:bCs/>
          <w:szCs w:val="22"/>
        </w:rPr>
        <w:t xml:space="preserve"> mitigating processes </w:t>
      </w:r>
      <w:r w:rsidR="00182402">
        <w:rPr>
          <w:rFonts w:cs="Arial"/>
          <w:bCs/>
          <w:szCs w:val="22"/>
        </w:rPr>
        <w:t xml:space="preserve">which accompany it, </w:t>
      </w:r>
      <w:r w:rsidR="00451E6E">
        <w:rPr>
          <w:rFonts w:cs="Arial"/>
          <w:bCs/>
          <w:szCs w:val="22"/>
        </w:rPr>
        <w:t>are set forth as follows:</w:t>
      </w:r>
    </w:p>
    <w:p w14:paraId="4FAD1201" w14:textId="77777777" w:rsidR="004B3DEC" w:rsidRDefault="004B3DEC" w:rsidP="00442A4C">
      <w:pPr>
        <w:ind w:left="82"/>
        <w:jc w:val="both"/>
        <w:rPr>
          <w:rFonts w:cs="Arial"/>
          <w:b/>
          <w:szCs w:val="22"/>
        </w:rPr>
      </w:pPr>
    </w:p>
    <w:p w14:paraId="224CCF9E" w14:textId="071DD8D6" w:rsidR="00442A4C" w:rsidRPr="00172FB0" w:rsidRDefault="00442A4C" w:rsidP="00172FB0">
      <w:pPr>
        <w:pStyle w:val="ListParagraph"/>
        <w:numPr>
          <w:ilvl w:val="0"/>
          <w:numId w:val="9"/>
        </w:numPr>
        <w:jc w:val="both"/>
        <w:rPr>
          <w:rFonts w:cs="Arial"/>
          <w:b/>
          <w:sz w:val="28"/>
          <w:szCs w:val="28"/>
        </w:rPr>
      </w:pPr>
      <w:r w:rsidRPr="00172FB0">
        <w:rPr>
          <w:rFonts w:cs="Arial"/>
          <w:b/>
          <w:sz w:val="28"/>
          <w:szCs w:val="28"/>
        </w:rPr>
        <w:t>Financial Risk</w:t>
      </w:r>
      <w:r w:rsidR="0064708A">
        <w:rPr>
          <w:rFonts w:cs="Arial"/>
          <w:b/>
          <w:sz w:val="28"/>
          <w:szCs w:val="28"/>
        </w:rPr>
        <w:t xml:space="preserve"> &amp; Recruitment</w:t>
      </w:r>
    </w:p>
    <w:p w14:paraId="2FDF3C91" w14:textId="3FD29A62" w:rsidR="00172FB0" w:rsidRPr="0064708A" w:rsidRDefault="00442A4C" w:rsidP="004B3DEC">
      <w:pPr>
        <w:pStyle w:val="RFbullet"/>
      </w:pPr>
      <w:r w:rsidRPr="00442A4C">
        <w:t xml:space="preserve">The risk </w:t>
      </w:r>
      <w:r w:rsidRPr="0064708A">
        <w:t xml:space="preserve">that the </w:t>
      </w:r>
      <w:r w:rsidR="008F2A65" w:rsidRPr="0064708A">
        <w:t>Foundation</w:t>
      </w:r>
      <w:r w:rsidRPr="0064708A">
        <w:t xml:space="preserve"> as a whole is unable to operate is very low</w:t>
      </w:r>
      <w:r w:rsidR="00172FB0" w:rsidRPr="0064708A">
        <w:t xml:space="preserve">. </w:t>
      </w:r>
      <w:r w:rsidRPr="0064708A">
        <w:t xml:space="preserve"> </w:t>
      </w:r>
      <w:r w:rsidR="00172FB0" w:rsidRPr="0064708A">
        <w:t>This is due to the following</w:t>
      </w:r>
      <w:r w:rsidR="004B3DEC">
        <w:t xml:space="preserve"> reasons</w:t>
      </w:r>
      <w:r w:rsidR="00172FB0" w:rsidRPr="0064708A">
        <w:t>, and their associated mitigating factors:</w:t>
      </w:r>
    </w:p>
    <w:p w14:paraId="2FEE4AA8" w14:textId="09A70BE8" w:rsidR="00172FB0" w:rsidRPr="0064708A" w:rsidRDefault="00172FB0" w:rsidP="004B3DEC">
      <w:pPr>
        <w:pStyle w:val="RFbullet"/>
        <w:numPr>
          <w:ilvl w:val="0"/>
          <w:numId w:val="10"/>
        </w:numPr>
      </w:pPr>
      <w:r w:rsidRPr="0064708A">
        <w:t>The</w:t>
      </w:r>
      <w:r w:rsidR="00442A4C" w:rsidRPr="0064708A">
        <w:t xml:space="preserve"> majority of </w:t>
      </w:r>
      <w:r w:rsidR="00AC6B85">
        <w:t>the Foundation’s</w:t>
      </w:r>
      <w:r w:rsidR="00442A4C" w:rsidRPr="0064708A">
        <w:t xml:space="preserve"> students come with sponsorship for their training f</w:t>
      </w:r>
      <w:r w:rsidRPr="0064708A">
        <w:t>ro</w:t>
      </w:r>
      <w:r w:rsidR="00442A4C" w:rsidRPr="0064708A">
        <w:t>m their sending churches</w:t>
      </w:r>
      <w:r w:rsidRPr="0064708A">
        <w:t>.</w:t>
      </w:r>
      <w:r w:rsidR="00442A4C" w:rsidRPr="0064708A">
        <w:t xml:space="preserve"> </w:t>
      </w:r>
      <w:r w:rsidRPr="0064708A">
        <w:t>This funding</w:t>
      </w:r>
      <w:r w:rsidR="00442A4C" w:rsidRPr="0064708A">
        <w:t xml:space="preserve"> covers the</w:t>
      </w:r>
      <w:r w:rsidRPr="0064708A">
        <w:t xml:space="preserve"> student’s</w:t>
      </w:r>
      <w:r w:rsidR="00442A4C" w:rsidRPr="0064708A">
        <w:t xml:space="preserve"> academic tuition fees, additional fees for professional training requirements, and maintenance for living costs</w:t>
      </w:r>
      <w:r w:rsidRPr="0064708A">
        <w:t xml:space="preserve">; these are </w:t>
      </w:r>
      <w:r w:rsidR="00442A4C" w:rsidRPr="0064708A">
        <w:t>all assessed</w:t>
      </w:r>
      <w:r w:rsidR="00182402">
        <w:t>,</w:t>
      </w:r>
      <w:r w:rsidR="00442A4C" w:rsidRPr="0064708A">
        <w:t xml:space="preserve"> as appropriate</w:t>
      </w:r>
      <w:r w:rsidR="00182402">
        <w:t>,</w:t>
      </w:r>
      <w:r w:rsidR="00442A4C" w:rsidRPr="0064708A">
        <w:t xml:space="preserve"> for the student’s particular situation/needs. This sponsorship covers 87.5% of our current </w:t>
      </w:r>
      <w:r w:rsidR="00182402">
        <w:t xml:space="preserve">student </w:t>
      </w:r>
      <w:r w:rsidR="00442A4C" w:rsidRPr="0064708A">
        <w:t>population, and for the Methodist church</w:t>
      </w:r>
      <w:r w:rsidR="00AC6B85">
        <w:t>,</w:t>
      </w:r>
      <w:r w:rsidR="00442A4C" w:rsidRPr="0064708A">
        <w:t xml:space="preserve"> </w:t>
      </w:r>
      <w:r w:rsidR="00AC6B85">
        <w:t>Queen’s is</w:t>
      </w:r>
      <w:r w:rsidR="00442A4C" w:rsidRPr="0064708A">
        <w:t xml:space="preserve"> the sole approved training provider for ordained ministry. </w:t>
      </w:r>
      <w:r w:rsidRPr="0064708A">
        <w:t xml:space="preserve">This ensures </w:t>
      </w:r>
      <w:r w:rsidR="00AC6B85">
        <w:t>a</w:t>
      </w:r>
      <w:r w:rsidRPr="0064708A">
        <w:t xml:space="preserve"> regular flow of income that is proportionate to</w:t>
      </w:r>
      <w:r w:rsidR="00AC6B85">
        <w:t>, and commensurate with,</w:t>
      </w:r>
      <w:r w:rsidRPr="0064708A">
        <w:t xml:space="preserve"> the delivery of the Foundation’s activities.  </w:t>
      </w:r>
    </w:p>
    <w:p w14:paraId="77C599B7" w14:textId="2ED49C83" w:rsidR="00442A4C" w:rsidRPr="0064708A" w:rsidRDefault="00442A4C" w:rsidP="004B3DEC">
      <w:pPr>
        <w:pStyle w:val="RFbullet"/>
        <w:numPr>
          <w:ilvl w:val="0"/>
          <w:numId w:val="10"/>
        </w:numPr>
      </w:pPr>
      <w:r w:rsidRPr="0064708A">
        <w:t xml:space="preserve">The </w:t>
      </w:r>
      <w:r w:rsidR="00172FB0" w:rsidRPr="0064708A">
        <w:t>G</w:t>
      </w:r>
      <w:r w:rsidRPr="0064708A">
        <w:t>overnors have a policy of</w:t>
      </w:r>
      <w:r w:rsidR="00172FB0" w:rsidRPr="0064708A">
        <w:t xml:space="preserve"> retaining</w:t>
      </w:r>
      <w:r w:rsidRPr="0064708A">
        <w:t xml:space="preserve"> 12 months operating costs in protected reserves. </w:t>
      </w:r>
      <w:r w:rsidR="00172FB0" w:rsidRPr="0064708A">
        <w:t>This ensures that</w:t>
      </w:r>
      <w:r w:rsidRPr="0064708A">
        <w:t xml:space="preserve"> </w:t>
      </w:r>
      <w:r w:rsidR="00172FB0" w:rsidRPr="0064708A">
        <w:t>G</w:t>
      </w:r>
      <w:r w:rsidRPr="0064708A">
        <w:t xml:space="preserve">overnors would always be able to fully reimburse all students for </w:t>
      </w:r>
      <w:r w:rsidR="00182402">
        <w:t>services for which they</w:t>
      </w:r>
      <w:r w:rsidRPr="0064708A">
        <w:t xml:space="preserve"> had paid for that year</w:t>
      </w:r>
      <w:r w:rsidR="00172FB0" w:rsidRPr="0064708A">
        <w:t>,</w:t>
      </w:r>
      <w:r w:rsidRPr="0064708A">
        <w:t xml:space="preserve"> if the</w:t>
      </w:r>
      <w:r w:rsidR="00172FB0" w:rsidRPr="0064708A">
        <w:t xml:space="preserve"> students</w:t>
      </w:r>
      <w:r w:rsidRPr="0064708A">
        <w:t xml:space="preserve"> wished or </w:t>
      </w:r>
      <w:r w:rsidRPr="0064708A">
        <w:lastRenderedPageBreak/>
        <w:t xml:space="preserve">needed to be transferred to another institution, or </w:t>
      </w:r>
      <w:r w:rsidR="00172FB0" w:rsidRPr="0064708A">
        <w:t xml:space="preserve">if it were deemed necessary </w:t>
      </w:r>
      <w:r w:rsidRPr="0064708A">
        <w:t xml:space="preserve">to fund a full teach-out of all existing commitments to students at the </w:t>
      </w:r>
      <w:r w:rsidR="008F2A65" w:rsidRPr="0064708A">
        <w:t>Foundation</w:t>
      </w:r>
      <w:r w:rsidRPr="0064708A">
        <w:t>.  This situation is further secured by our funding arrangements i.e</w:t>
      </w:r>
      <w:r w:rsidR="00172FB0" w:rsidRPr="0064708A">
        <w:t>.</w:t>
      </w:r>
      <w:r w:rsidR="00182402">
        <w:t xml:space="preserve"> for</w:t>
      </w:r>
      <w:r w:rsidRPr="0064708A">
        <w:t xml:space="preserve"> </w:t>
      </w:r>
      <w:proofErr w:type="gramStart"/>
      <w:r w:rsidRPr="0064708A">
        <w:t>the majority of</w:t>
      </w:r>
      <w:proofErr w:type="gramEnd"/>
      <w:r w:rsidRPr="0064708A">
        <w:t xml:space="preserve"> our students</w:t>
      </w:r>
      <w:r w:rsidR="00172FB0" w:rsidRPr="0064708A">
        <w:t>,</w:t>
      </w:r>
      <w:r w:rsidRPr="0064708A">
        <w:t xml:space="preserve"> we would continue to receive tuition and maintenance fee income from our sponsors for those students participating in a teach out programme where the Governors ha</w:t>
      </w:r>
      <w:r w:rsidR="00172FB0" w:rsidRPr="0064708A">
        <w:t>d</w:t>
      </w:r>
      <w:r w:rsidRPr="0064708A">
        <w:t xml:space="preserve"> made a previous decision to cease admissions.</w:t>
      </w:r>
    </w:p>
    <w:p w14:paraId="0BB64B39" w14:textId="71C6703F" w:rsidR="00442A4C" w:rsidRPr="0064708A" w:rsidRDefault="00442A4C" w:rsidP="004B3DEC">
      <w:pPr>
        <w:pStyle w:val="RFbullet"/>
      </w:pPr>
      <w:r w:rsidRPr="0064708A">
        <w:t xml:space="preserve">Because of the potential impact on </w:t>
      </w:r>
      <w:r w:rsidR="004B3DEC">
        <w:t xml:space="preserve">a </w:t>
      </w:r>
      <w:r w:rsidRPr="0064708A">
        <w:t>student</w:t>
      </w:r>
      <w:r w:rsidR="004B3DEC">
        <w:t>’s</w:t>
      </w:r>
      <w:r w:rsidRPr="0064708A">
        <w:t xml:space="preserve"> famil</w:t>
      </w:r>
      <w:r w:rsidR="004B3DEC">
        <w:t>y</w:t>
      </w:r>
      <w:r w:rsidRPr="0064708A">
        <w:t xml:space="preserve">, </w:t>
      </w:r>
      <w:r w:rsidR="004B3DEC">
        <w:t>on their partner</w:t>
      </w:r>
      <w:r w:rsidRPr="0064708A">
        <w:t>’s local employment/ commitment</w:t>
      </w:r>
      <w:r w:rsidR="00F01FFB">
        <w:t>s</w:t>
      </w:r>
      <w:r w:rsidRPr="0064708A">
        <w:t xml:space="preserve">, </w:t>
      </w:r>
      <w:r w:rsidR="004B3DEC">
        <w:t xml:space="preserve">on </w:t>
      </w:r>
      <w:r w:rsidRPr="0064708A">
        <w:t>children in local schools,</w:t>
      </w:r>
      <w:r w:rsidR="0064404C">
        <w:rPr>
          <w:rStyle w:val="FootnoteReference"/>
        </w:rPr>
        <w:footnoteReference w:id="1"/>
      </w:r>
      <w:r w:rsidRPr="0064708A">
        <w:t xml:space="preserve"> </w:t>
      </w:r>
      <w:r w:rsidR="004B3DEC">
        <w:t xml:space="preserve">on </w:t>
      </w:r>
      <w:r w:rsidRPr="0064708A">
        <w:t xml:space="preserve">their </w:t>
      </w:r>
      <w:r w:rsidR="00F01FFB">
        <w:t>agreements with</w:t>
      </w:r>
      <w:r w:rsidRPr="0064708A">
        <w:t xml:space="preserve"> local churches as part of their formational study and </w:t>
      </w:r>
      <w:r w:rsidR="004B3DEC">
        <w:t xml:space="preserve">in view of </w:t>
      </w:r>
      <w:r w:rsidRPr="0064708A">
        <w:t>the relatively short duration of study</w:t>
      </w:r>
      <w:r w:rsidR="000508F0" w:rsidRPr="0064708A">
        <w:t>,</w:t>
      </w:r>
      <w:r w:rsidRPr="0064708A">
        <w:rPr>
          <w:rStyle w:val="FootnoteReference"/>
          <w:szCs w:val="22"/>
        </w:rPr>
        <w:footnoteReference w:id="2"/>
      </w:r>
      <w:r w:rsidRPr="0064708A">
        <w:t xml:space="preserve">  it is the policy of the </w:t>
      </w:r>
      <w:r w:rsidR="000508F0" w:rsidRPr="0064708A">
        <w:t>G</w:t>
      </w:r>
      <w:r w:rsidRPr="0064708A">
        <w:t xml:space="preserve">overnors of the </w:t>
      </w:r>
      <w:r w:rsidR="008F2A65" w:rsidRPr="0064708A">
        <w:t>Foundation</w:t>
      </w:r>
      <w:r w:rsidRPr="0064708A">
        <w:t xml:space="preserve"> that, in the extremely unlikely event of the need to close the </w:t>
      </w:r>
      <w:r w:rsidR="008F2A65" w:rsidRPr="0064708A">
        <w:t>Foundation</w:t>
      </w:r>
      <w:r w:rsidR="000508F0" w:rsidRPr="0064708A">
        <w:t>,</w:t>
      </w:r>
      <w:r w:rsidRPr="0064708A">
        <w:t xml:space="preserve"> </w:t>
      </w:r>
      <w:r w:rsidR="000508F0" w:rsidRPr="0064708A">
        <w:t>they</w:t>
      </w:r>
      <w:r w:rsidRPr="0064708A">
        <w:t xml:space="preserve"> will offer a full teach out locally of all affected programmes.  </w:t>
      </w:r>
    </w:p>
    <w:p w14:paraId="5825A739" w14:textId="08B1976C" w:rsidR="00442A4C" w:rsidRPr="0064708A" w:rsidRDefault="000508F0" w:rsidP="0064708A">
      <w:pPr>
        <w:spacing w:after="120"/>
        <w:ind w:left="82"/>
        <w:jc w:val="both"/>
        <w:rPr>
          <w:rFonts w:cs="Arial"/>
          <w:szCs w:val="22"/>
        </w:rPr>
      </w:pPr>
      <w:r w:rsidRPr="0064708A">
        <w:rPr>
          <w:rFonts w:cs="Arial"/>
          <w:szCs w:val="22"/>
        </w:rPr>
        <w:t>The</w:t>
      </w:r>
      <w:r w:rsidR="00442A4C" w:rsidRPr="0064708A">
        <w:rPr>
          <w:rFonts w:cs="Arial"/>
          <w:szCs w:val="22"/>
        </w:rPr>
        <w:t xml:space="preserve"> realistic financial risks are </w:t>
      </w:r>
      <w:r w:rsidRPr="0064708A">
        <w:rPr>
          <w:rFonts w:cs="Arial"/>
          <w:szCs w:val="22"/>
        </w:rPr>
        <w:t xml:space="preserve">therefore </w:t>
      </w:r>
      <w:r w:rsidR="00442A4C" w:rsidRPr="0064708A">
        <w:rPr>
          <w:rFonts w:cs="Arial"/>
          <w:szCs w:val="22"/>
        </w:rPr>
        <w:t>limited to:</w:t>
      </w:r>
    </w:p>
    <w:p w14:paraId="378D2820" w14:textId="46273C2D" w:rsidR="00442A4C" w:rsidRPr="0064708A" w:rsidRDefault="00442A4C" w:rsidP="0064708A">
      <w:pPr>
        <w:pStyle w:val="ListParagraph"/>
        <w:numPr>
          <w:ilvl w:val="0"/>
          <w:numId w:val="3"/>
        </w:numPr>
        <w:spacing w:after="120" w:line="240" w:lineRule="auto"/>
        <w:ind w:left="363" w:hanging="284"/>
        <w:contextualSpacing w:val="0"/>
        <w:jc w:val="both"/>
        <w:rPr>
          <w:rFonts w:ascii="Arial" w:hAnsi="Arial" w:cs="Arial"/>
          <w:szCs w:val="22"/>
        </w:rPr>
      </w:pPr>
      <w:r w:rsidRPr="0064708A">
        <w:rPr>
          <w:rFonts w:ascii="Arial" w:hAnsi="Arial" w:cs="Arial"/>
          <w:i/>
          <w:szCs w:val="22"/>
        </w:rPr>
        <w:t xml:space="preserve">Reduction in Anglican candidates choosing to study at the </w:t>
      </w:r>
      <w:r w:rsidR="008F2A65" w:rsidRPr="0064708A">
        <w:rPr>
          <w:rFonts w:ascii="Arial" w:hAnsi="Arial" w:cs="Arial"/>
          <w:i/>
          <w:szCs w:val="22"/>
        </w:rPr>
        <w:t>Foundation</w:t>
      </w:r>
      <w:r w:rsidRPr="0064708A">
        <w:rPr>
          <w:rFonts w:ascii="Arial" w:hAnsi="Arial" w:cs="Arial"/>
          <w:szCs w:val="22"/>
        </w:rPr>
        <w:t xml:space="preserve"> (</w:t>
      </w:r>
      <w:r w:rsidR="000508F0" w:rsidRPr="0064708A">
        <w:rPr>
          <w:rFonts w:ascii="Arial" w:hAnsi="Arial" w:cs="Arial"/>
          <w:szCs w:val="22"/>
        </w:rPr>
        <w:t xml:space="preserve">where </w:t>
      </w:r>
      <w:r w:rsidRPr="0064708A">
        <w:rPr>
          <w:rFonts w:ascii="Arial" w:hAnsi="Arial" w:cs="Arial"/>
          <w:szCs w:val="22"/>
        </w:rPr>
        <w:t>there is a choice of training provider)</w:t>
      </w:r>
      <w:r w:rsidR="000508F0" w:rsidRPr="0064708A">
        <w:rPr>
          <w:rFonts w:ascii="Arial" w:hAnsi="Arial" w:cs="Arial"/>
          <w:szCs w:val="22"/>
        </w:rPr>
        <w:t xml:space="preserve">. However, </w:t>
      </w:r>
      <w:r w:rsidRPr="0064708A">
        <w:rPr>
          <w:rFonts w:ascii="Arial" w:hAnsi="Arial" w:cs="Arial"/>
          <w:szCs w:val="22"/>
        </w:rPr>
        <w:t>this is further mitigated by contracts we have with one local diocese as their preferred provider for all forms of training</w:t>
      </w:r>
      <w:r w:rsidR="000508F0" w:rsidRPr="0064708A">
        <w:rPr>
          <w:rFonts w:ascii="Arial" w:hAnsi="Arial" w:cs="Arial"/>
          <w:szCs w:val="22"/>
        </w:rPr>
        <w:t>, and separate arrangements wit</w:t>
      </w:r>
      <w:r w:rsidR="00AC6B85">
        <w:rPr>
          <w:rFonts w:ascii="Arial" w:hAnsi="Arial" w:cs="Arial"/>
          <w:szCs w:val="22"/>
        </w:rPr>
        <w:t>h</w:t>
      </w:r>
      <w:r w:rsidR="000508F0" w:rsidRPr="0064708A">
        <w:rPr>
          <w:rFonts w:ascii="Arial" w:hAnsi="Arial" w:cs="Arial"/>
          <w:szCs w:val="22"/>
        </w:rPr>
        <w:t xml:space="preserve"> another diocese to be the sole provider of training for Reader ministry</w:t>
      </w:r>
      <w:r w:rsidRPr="0064708A">
        <w:rPr>
          <w:rFonts w:ascii="Arial" w:hAnsi="Arial" w:cs="Arial"/>
          <w:szCs w:val="22"/>
        </w:rPr>
        <w:t>.</w:t>
      </w:r>
      <w:r w:rsidR="00F01FFB">
        <w:rPr>
          <w:rStyle w:val="FootnoteReference"/>
          <w:rFonts w:ascii="Arial" w:hAnsi="Arial" w:cs="Arial"/>
          <w:szCs w:val="22"/>
        </w:rPr>
        <w:footnoteReference w:id="3"/>
      </w:r>
    </w:p>
    <w:p w14:paraId="3D49151D" w14:textId="15EBB154" w:rsidR="00442A4C" w:rsidRPr="0064708A" w:rsidRDefault="00442A4C" w:rsidP="0064708A">
      <w:pPr>
        <w:pStyle w:val="ListParagraph"/>
        <w:numPr>
          <w:ilvl w:val="0"/>
          <w:numId w:val="3"/>
        </w:numPr>
        <w:spacing w:after="120" w:line="240" w:lineRule="auto"/>
        <w:ind w:left="363" w:hanging="284"/>
        <w:contextualSpacing w:val="0"/>
        <w:jc w:val="both"/>
        <w:rPr>
          <w:rFonts w:ascii="Arial" w:hAnsi="Arial" w:cs="Arial"/>
          <w:szCs w:val="22"/>
        </w:rPr>
      </w:pPr>
      <w:r w:rsidRPr="0064708A">
        <w:rPr>
          <w:rFonts w:ascii="Arial" w:hAnsi="Arial" w:cs="Arial"/>
          <w:i/>
          <w:szCs w:val="22"/>
        </w:rPr>
        <w:t>Loss of the Methodist training contract</w:t>
      </w:r>
      <w:r w:rsidR="000508F0" w:rsidRPr="0064708A">
        <w:rPr>
          <w:rFonts w:ascii="Arial" w:hAnsi="Arial" w:cs="Arial"/>
          <w:szCs w:val="22"/>
        </w:rPr>
        <w:t>. This is mitigated by our</w:t>
      </w:r>
      <w:r w:rsidRPr="0064708A">
        <w:rPr>
          <w:rFonts w:ascii="Arial" w:hAnsi="Arial" w:cs="Arial"/>
          <w:szCs w:val="22"/>
        </w:rPr>
        <w:t xml:space="preserve"> </w:t>
      </w:r>
      <w:r w:rsidR="000508F0" w:rsidRPr="0064708A">
        <w:rPr>
          <w:rFonts w:ascii="Arial" w:hAnsi="Arial" w:cs="Arial"/>
          <w:szCs w:val="22"/>
        </w:rPr>
        <w:t xml:space="preserve">having </w:t>
      </w:r>
      <w:r w:rsidRPr="0064708A">
        <w:rPr>
          <w:rFonts w:ascii="Arial" w:hAnsi="Arial" w:cs="Arial"/>
          <w:szCs w:val="22"/>
        </w:rPr>
        <w:t>at least one academic year</w:t>
      </w:r>
      <w:r w:rsidR="000508F0" w:rsidRPr="0064708A">
        <w:rPr>
          <w:rFonts w:ascii="Arial" w:hAnsi="Arial" w:cs="Arial"/>
          <w:szCs w:val="22"/>
        </w:rPr>
        <w:t>’</w:t>
      </w:r>
      <w:r w:rsidRPr="0064708A">
        <w:rPr>
          <w:rFonts w:ascii="Arial" w:hAnsi="Arial" w:cs="Arial"/>
          <w:szCs w:val="22"/>
        </w:rPr>
        <w:t xml:space="preserve">s notice of </w:t>
      </w:r>
      <w:r w:rsidR="000508F0" w:rsidRPr="0064708A">
        <w:rPr>
          <w:rFonts w:ascii="Arial" w:hAnsi="Arial" w:cs="Arial"/>
          <w:szCs w:val="22"/>
        </w:rPr>
        <w:t>its removal, and the</w:t>
      </w:r>
      <w:r w:rsidRPr="0064708A">
        <w:rPr>
          <w:rFonts w:ascii="Arial" w:hAnsi="Arial" w:cs="Arial"/>
          <w:szCs w:val="22"/>
        </w:rPr>
        <w:t xml:space="preserve"> </w:t>
      </w:r>
      <w:r w:rsidR="000508F0" w:rsidRPr="0064708A">
        <w:rPr>
          <w:rFonts w:ascii="Arial" w:hAnsi="Arial" w:cs="Arial"/>
          <w:szCs w:val="22"/>
        </w:rPr>
        <w:t>further</w:t>
      </w:r>
      <w:r w:rsidRPr="0064708A">
        <w:rPr>
          <w:rFonts w:ascii="Arial" w:hAnsi="Arial" w:cs="Arial"/>
          <w:szCs w:val="22"/>
        </w:rPr>
        <w:t xml:space="preserve"> commitment to continue to fund and approve the training of all Methodist </w:t>
      </w:r>
      <w:r w:rsidR="00F01FFB">
        <w:rPr>
          <w:rFonts w:ascii="Arial" w:hAnsi="Arial" w:cs="Arial"/>
          <w:szCs w:val="22"/>
        </w:rPr>
        <w:t>s</w:t>
      </w:r>
      <w:r w:rsidRPr="0064708A">
        <w:rPr>
          <w:rFonts w:ascii="Arial" w:hAnsi="Arial" w:cs="Arial"/>
          <w:szCs w:val="22"/>
        </w:rPr>
        <w:t xml:space="preserve">tudents who </w:t>
      </w:r>
      <w:r w:rsidR="000508F0" w:rsidRPr="0064708A">
        <w:rPr>
          <w:rFonts w:ascii="Arial" w:hAnsi="Arial" w:cs="Arial"/>
          <w:szCs w:val="22"/>
        </w:rPr>
        <w:t>had begun their</w:t>
      </w:r>
      <w:r w:rsidRPr="0064708A">
        <w:rPr>
          <w:rFonts w:ascii="Arial" w:hAnsi="Arial" w:cs="Arial"/>
          <w:szCs w:val="22"/>
        </w:rPr>
        <w:t xml:space="preserve"> training</w:t>
      </w:r>
      <w:r w:rsidR="000508F0" w:rsidRPr="0064708A">
        <w:rPr>
          <w:rFonts w:ascii="Arial" w:hAnsi="Arial" w:cs="Arial"/>
          <w:szCs w:val="22"/>
        </w:rPr>
        <w:t>/study</w:t>
      </w:r>
      <w:r w:rsidRPr="0064708A">
        <w:rPr>
          <w:rFonts w:ascii="Arial" w:hAnsi="Arial" w:cs="Arial"/>
          <w:szCs w:val="22"/>
        </w:rPr>
        <w:t xml:space="preserve"> with the </w:t>
      </w:r>
      <w:r w:rsidR="008F2A65" w:rsidRPr="0064708A">
        <w:rPr>
          <w:rFonts w:ascii="Arial" w:hAnsi="Arial" w:cs="Arial"/>
          <w:szCs w:val="22"/>
        </w:rPr>
        <w:t>Foundation</w:t>
      </w:r>
      <w:r w:rsidR="000508F0" w:rsidRPr="0064708A">
        <w:rPr>
          <w:rFonts w:ascii="Arial" w:hAnsi="Arial" w:cs="Arial"/>
          <w:szCs w:val="22"/>
        </w:rPr>
        <w:t>,</w:t>
      </w:r>
      <w:r w:rsidRPr="0064708A">
        <w:rPr>
          <w:rFonts w:ascii="Arial" w:hAnsi="Arial" w:cs="Arial"/>
          <w:szCs w:val="22"/>
        </w:rPr>
        <w:t xml:space="preserve"> until </w:t>
      </w:r>
      <w:r w:rsidR="000508F0" w:rsidRPr="0064708A">
        <w:rPr>
          <w:rFonts w:ascii="Arial" w:hAnsi="Arial" w:cs="Arial"/>
          <w:szCs w:val="22"/>
        </w:rPr>
        <w:t xml:space="preserve">the </w:t>
      </w:r>
      <w:r w:rsidRPr="0064708A">
        <w:rPr>
          <w:rFonts w:ascii="Arial" w:hAnsi="Arial" w:cs="Arial"/>
          <w:szCs w:val="22"/>
        </w:rPr>
        <w:t xml:space="preserve">full teach out </w:t>
      </w:r>
      <w:r w:rsidR="00AC6B85">
        <w:rPr>
          <w:rFonts w:ascii="Arial" w:hAnsi="Arial" w:cs="Arial"/>
          <w:szCs w:val="22"/>
        </w:rPr>
        <w:t xml:space="preserve">of those students </w:t>
      </w:r>
      <w:r w:rsidRPr="0064708A">
        <w:rPr>
          <w:rFonts w:ascii="Arial" w:hAnsi="Arial" w:cs="Arial"/>
          <w:szCs w:val="22"/>
        </w:rPr>
        <w:t xml:space="preserve">is achieved.  The impact of this change could therefore be </w:t>
      </w:r>
      <w:r w:rsidR="000508F0" w:rsidRPr="0064708A">
        <w:rPr>
          <w:rFonts w:ascii="Arial" w:hAnsi="Arial" w:cs="Arial"/>
          <w:szCs w:val="22"/>
        </w:rPr>
        <w:t xml:space="preserve">both </w:t>
      </w:r>
      <w:r w:rsidRPr="0064708A">
        <w:rPr>
          <w:rFonts w:ascii="Arial" w:hAnsi="Arial" w:cs="Arial"/>
          <w:szCs w:val="22"/>
        </w:rPr>
        <w:t>planned for and mitigated</w:t>
      </w:r>
      <w:r w:rsidR="000508F0" w:rsidRPr="0064708A">
        <w:rPr>
          <w:rFonts w:ascii="Arial" w:hAnsi="Arial" w:cs="Arial"/>
          <w:szCs w:val="22"/>
        </w:rPr>
        <w:t xml:space="preserve"> accordingly</w:t>
      </w:r>
      <w:r w:rsidRPr="0064708A">
        <w:rPr>
          <w:rFonts w:ascii="Arial" w:hAnsi="Arial" w:cs="Arial"/>
          <w:szCs w:val="22"/>
        </w:rPr>
        <w:t>.</w:t>
      </w:r>
    </w:p>
    <w:p w14:paraId="51B0DF49" w14:textId="77777777" w:rsidR="000508F0" w:rsidRPr="0064708A" w:rsidRDefault="000508F0" w:rsidP="0064708A">
      <w:pPr>
        <w:spacing w:after="120"/>
        <w:ind w:left="82"/>
        <w:jc w:val="both"/>
        <w:rPr>
          <w:rFonts w:cs="Arial"/>
          <w:szCs w:val="22"/>
        </w:rPr>
      </w:pPr>
      <w:r w:rsidRPr="0064708A">
        <w:rPr>
          <w:rFonts w:cs="Arial"/>
          <w:szCs w:val="22"/>
        </w:rPr>
        <w:t>The</w:t>
      </w:r>
      <w:r w:rsidR="00442A4C" w:rsidRPr="0064708A">
        <w:rPr>
          <w:rFonts w:cs="Arial"/>
          <w:szCs w:val="22"/>
        </w:rPr>
        <w:t xml:space="preserve"> outcome of either of these scenarios would be the planned redundancy of a proportionate number of faculty</w:t>
      </w:r>
      <w:r w:rsidRPr="0064708A">
        <w:rPr>
          <w:rFonts w:cs="Arial"/>
          <w:szCs w:val="22"/>
        </w:rPr>
        <w:t>;</w:t>
      </w:r>
      <w:r w:rsidR="00442A4C" w:rsidRPr="0064708A">
        <w:rPr>
          <w:rFonts w:cs="Arial"/>
          <w:szCs w:val="22"/>
        </w:rPr>
        <w:t xml:space="preserve"> however</w:t>
      </w:r>
      <w:r w:rsidRPr="0064708A">
        <w:rPr>
          <w:rFonts w:cs="Arial"/>
          <w:szCs w:val="22"/>
        </w:rPr>
        <w:t>,</w:t>
      </w:r>
      <w:r w:rsidR="00442A4C" w:rsidRPr="0064708A">
        <w:rPr>
          <w:rFonts w:cs="Arial"/>
          <w:szCs w:val="22"/>
        </w:rPr>
        <w:t xml:space="preserve"> the impact of </w:t>
      </w:r>
      <w:r w:rsidRPr="0064708A">
        <w:rPr>
          <w:rFonts w:cs="Arial"/>
          <w:szCs w:val="22"/>
        </w:rPr>
        <w:t>this</w:t>
      </w:r>
      <w:r w:rsidR="00442A4C" w:rsidRPr="0064708A">
        <w:rPr>
          <w:rFonts w:cs="Arial"/>
          <w:szCs w:val="22"/>
        </w:rPr>
        <w:t xml:space="preserve"> would not be on </w:t>
      </w:r>
      <w:r w:rsidR="00442A4C" w:rsidRPr="00AC6B85">
        <w:rPr>
          <w:rFonts w:cs="Arial"/>
          <w:i/>
          <w:szCs w:val="22"/>
        </w:rPr>
        <w:t>existing</w:t>
      </w:r>
      <w:r w:rsidR="00442A4C" w:rsidRPr="0064708A">
        <w:rPr>
          <w:rFonts w:cs="Arial"/>
          <w:szCs w:val="22"/>
        </w:rPr>
        <w:t xml:space="preserve"> students</w:t>
      </w:r>
      <w:r w:rsidRPr="0064708A">
        <w:rPr>
          <w:rFonts w:cs="Arial"/>
          <w:szCs w:val="22"/>
        </w:rPr>
        <w:t xml:space="preserve">. </w:t>
      </w:r>
      <w:r w:rsidR="00442A4C" w:rsidRPr="0064708A">
        <w:rPr>
          <w:rFonts w:cs="Arial"/>
          <w:szCs w:val="22"/>
        </w:rPr>
        <w:t>We have a broad range of faculty for our size</w:t>
      </w:r>
      <w:r w:rsidRPr="0064708A">
        <w:rPr>
          <w:rFonts w:cs="Arial"/>
          <w:szCs w:val="22"/>
        </w:rPr>
        <w:t>,</w:t>
      </w:r>
      <w:r w:rsidR="00442A4C" w:rsidRPr="0064708A">
        <w:rPr>
          <w:rFonts w:cs="Arial"/>
          <w:szCs w:val="22"/>
        </w:rPr>
        <w:t xml:space="preserve"> and reductions could be taken to maintain the current spread of specialisms. </w:t>
      </w:r>
    </w:p>
    <w:p w14:paraId="37BBC9EF" w14:textId="74CF1E02" w:rsidR="00442A4C" w:rsidRPr="0064708A" w:rsidRDefault="00442A4C" w:rsidP="0064708A">
      <w:pPr>
        <w:spacing w:after="120"/>
        <w:ind w:left="82"/>
        <w:jc w:val="both"/>
        <w:rPr>
          <w:rFonts w:cs="Arial"/>
          <w:szCs w:val="22"/>
        </w:rPr>
      </w:pPr>
      <w:r w:rsidRPr="0064708A">
        <w:rPr>
          <w:rFonts w:cs="Arial"/>
          <w:szCs w:val="22"/>
        </w:rPr>
        <w:t xml:space="preserve">A related risk to these eventualities is a non-viable cohort on one of our designated pathways.  Because students </w:t>
      </w:r>
      <w:r w:rsidR="004B3DEC">
        <w:rPr>
          <w:rFonts w:cs="Arial"/>
          <w:szCs w:val="22"/>
        </w:rPr>
        <w:t>are</w:t>
      </w:r>
      <w:r w:rsidRPr="0064708A">
        <w:rPr>
          <w:rFonts w:cs="Arial"/>
          <w:szCs w:val="22"/>
        </w:rPr>
        <w:t xml:space="preserve"> sent by a number of churches</w:t>
      </w:r>
      <w:r w:rsidR="000508F0" w:rsidRPr="0064708A">
        <w:rPr>
          <w:rFonts w:cs="Arial"/>
          <w:szCs w:val="22"/>
        </w:rPr>
        <w:t xml:space="preserve">, however, </w:t>
      </w:r>
      <w:r w:rsidRPr="0064708A">
        <w:rPr>
          <w:rFonts w:cs="Arial"/>
          <w:szCs w:val="22"/>
        </w:rPr>
        <w:t>this is a low risk</w:t>
      </w:r>
      <w:r w:rsidR="000508F0" w:rsidRPr="0064708A">
        <w:rPr>
          <w:rFonts w:cs="Arial"/>
          <w:szCs w:val="22"/>
        </w:rPr>
        <w:t xml:space="preserve">. For its </w:t>
      </w:r>
      <w:r w:rsidR="000508F0" w:rsidRPr="0064708A">
        <w:rPr>
          <w:rFonts w:cs="Arial"/>
          <w:i/>
          <w:szCs w:val="22"/>
        </w:rPr>
        <w:t>overall</w:t>
      </w:r>
      <w:r w:rsidR="000508F0" w:rsidRPr="0064708A">
        <w:rPr>
          <w:rFonts w:cs="Arial"/>
          <w:szCs w:val="22"/>
        </w:rPr>
        <w:t xml:space="preserve"> function, the Foundation is not dependent on the relationship with on</w:t>
      </w:r>
      <w:r w:rsidR="004B3DEC">
        <w:rPr>
          <w:rFonts w:cs="Arial"/>
          <w:szCs w:val="22"/>
        </w:rPr>
        <w:t>e</w:t>
      </w:r>
      <w:r w:rsidR="000508F0" w:rsidRPr="0064708A">
        <w:rPr>
          <w:rFonts w:cs="Arial"/>
          <w:szCs w:val="22"/>
        </w:rPr>
        <w:t xml:space="preserve"> particular sponsoring church. </w:t>
      </w:r>
      <w:r w:rsidRPr="0064708A">
        <w:rPr>
          <w:rFonts w:cs="Arial"/>
          <w:szCs w:val="22"/>
        </w:rPr>
        <w:t xml:space="preserve"> </w:t>
      </w:r>
      <w:r w:rsidR="000508F0" w:rsidRPr="0064708A">
        <w:rPr>
          <w:rFonts w:cs="Arial"/>
          <w:szCs w:val="22"/>
        </w:rPr>
        <w:t xml:space="preserve">This is </w:t>
      </w:r>
      <w:r w:rsidR="004B3DEC">
        <w:rPr>
          <w:rFonts w:cs="Arial"/>
          <w:szCs w:val="22"/>
        </w:rPr>
        <w:t>further</w:t>
      </w:r>
      <w:r w:rsidRPr="0064708A">
        <w:rPr>
          <w:rFonts w:cs="Arial"/>
          <w:szCs w:val="22"/>
        </w:rPr>
        <w:t xml:space="preserve"> mitigated by the Methodist contract meaning </w:t>
      </w:r>
      <w:r w:rsidR="000508F0" w:rsidRPr="0064708A">
        <w:rPr>
          <w:rFonts w:cs="Arial"/>
          <w:szCs w:val="22"/>
        </w:rPr>
        <w:t xml:space="preserve">that </w:t>
      </w:r>
      <w:r w:rsidRPr="0064708A">
        <w:rPr>
          <w:rFonts w:cs="Arial"/>
          <w:szCs w:val="22"/>
        </w:rPr>
        <w:t xml:space="preserve">a viable cohort exists in all main pathways prior to other recruitment. </w:t>
      </w:r>
      <w:r w:rsidR="000508F0" w:rsidRPr="0064708A">
        <w:rPr>
          <w:rFonts w:cs="Arial"/>
          <w:szCs w:val="22"/>
        </w:rPr>
        <w:t>In</w:t>
      </w:r>
      <w:r w:rsidRPr="0064708A">
        <w:rPr>
          <w:rFonts w:cs="Arial"/>
          <w:szCs w:val="22"/>
        </w:rPr>
        <w:t xml:space="preserve"> the event of the loss of the Methodist contract</w:t>
      </w:r>
      <w:r w:rsidR="000508F0" w:rsidRPr="0064708A">
        <w:rPr>
          <w:rFonts w:cs="Arial"/>
          <w:szCs w:val="22"/>
        </w:rPr>
        <w:t>,</w:t>
      </w:r>
      <w:r w:rsidR="00182402">
        <w:rPr>
          <w:rFonts w:cs="Arial"/>
          <w:szCs w:val="22"/>
        </w:rPr>
        <w:t xml:space="preserve"> and/</w:t>
      </w:r>
      <w:r w:rsidRPr="0064708A">
        <w:rPr>
          <w:rFonts w:cs="Arial"/>
          <w:szCs w:val="22"/>
        </w:rPr>
        <w:t>or exceptionally low recruitment of Methodist candidates</w:t>
      </w:r>
      <w:r w:rsidR="000508F0" w:rsidRPr="0064708A">
        <w:rPr>
          <w:rFonts w:cs="Arial"/>
          <w:szCs w:val="22"/>
        </w:rPr>
        <w:t>,</w:t>
      </w:r>
      <w:r w:rsidRPr="0064708A">
        <w:rPr>
          <w:rFonts w:cs="Arial"/>
          <w:szCs w:val="22"/>
        </w:rPr>
        <w:t xml:space="preserve"> d</w:t>
      </w:r>
      <w:r w:rsidR="000508F0" w:rsidRPr="0064708A">
        <w:rPr>
          <w:rFonts w:cs="Arial"/>
          <w:szCs w:val="22"/>
        </w:rPr>
        <w:t>u</w:t>
      </w:r>
      <w:r w:rsidRPr="0064708A">
        <w:rPr>
          <w:rFonts w:cs="Arial"/>
          <w:szCs w:val="22"/>
        </w:rPr>
        <w:t>e to the cycle of Methodist candidating</w:t>
      </w:r>
      <w:r w:rsidR="000508F0" w:rsidRPr="0064708A">
        <w:rPr>
          <w:rFonts w:cs="Arial"/>
          <w:szCs w:val="22"/>
        </w:rPr>
        <w:t xml:space="preserve"> processes,</w:t>
      </w:r>
      <w:r w:rsidRPr="0064708A">
        <w:rPr>
          <w:rFonts w:cs="Arial"/>
          <w:szCs w:val="22"/>
        </w:rPr>
        <w:t xml:space="preserve"> this would be flagged at least 18 months in advance</w:t>
      </w:r>
      <w:r w:rsidR="000508F0" w:rsidRPr="0064708A">
        <w:rPr>
          <w:rFonts w:cs="Arial"/>
          <w:szCs w:val="22"/>
        </w:rPr>
        <w:t>,</w:t>
      </w:r>
      <w:r w:rsidRPr="0064708A">
        <w:rPr>
          <w:rFonts w:cs="Arial"/>
          <w:szCs w:val="22"/>
        </w:rPr>
        <w:t xml:space="preserve"> and allow us to set a minimum viable cohort size for other students</w:t>
      </w:r>
      <w:r w:rsidR="0064708A" w:rsidRPr="0064708A">
        <w:rPr>
          <w:rFonts w:cs="Arial"/>
          <w:szCs w:val="22"/>
        </w:rPr>
        <w:t>,</w:t>
      </w:r>
      <w:r w:rsidRPr="0064708A">
        <w:rPr>
          <w:rFonts w:cs="Arial"/>
          <w:szCs w:val="22"/>
        </w:rPr>
        <w:t xml:space="preserve"> and </w:t>
      </w:r>
      <w:r w:rsidR="0064708A" w:rsidRPr="0064708A">
        <w:rPr>
          <w:rFonts w:cs="Arial"/>
          <w:szCs w:val="22"/>
        </w:rPr>
        <w:t xml:space="preserve">thereby </w:t>
      </w:r>
      <w:r w:rsidRPr="0064708A">
        <w:rPr>
          <w:rFonts w:cs="Arial"/>
          <w:szCs w:val="22"/>
        </w:rPr>
        <w:t>make this clear a</w:t>
      </w:r>
      <w:r w:rsidR="0064708A" w:rsidRPr="0064708A">
        <w:rPr>
          <w:rFonts w:cs="Arial"/>
          <w:szCs w:val="22"/>
        </w:rPr>
        <w:t>s</w:t>
      </w:r>
      <w:r w:rsidRPr="0064708A">
        <w:rPr>
          <w:rFonts w:cs="Arial"/>
          <w:szCs w:val="22"/>
        </w:rPr>
        <w:t xml:space="preserve"> part of their admission process.</w:t>
      </w:r>
    </w:p>
    <w:p w14:paraId="3A3EABD8" w14:textId="68E76335" w:rsidR="00442A4C" w:rsidRPr="0064708A" w:rsidRDefault="00442A4C" w:rsidP="0064708A">
      <w:pPr>
        <w:spacing w:after="120"/>
        <w:jc w:val="both"/>
        <w:rPr>
          <w:rFonts w:cs="Arial"/>
          <w:szCs w:val="22"/>
        </w:rPr>
      </w:pPr>
    </w:p>
    <w:p w14:paraId="1BA5894B" w14:textId="0A60835F" w:rsidR="0064708A" w:rsidRPr="0064708A" w:rsidRDefault="0064708A" w:rsidP="0064708A">
      <w:pPr>
        <w:pStyle w:val="ListParagraph"/>
        <w:numPr>
          <w:ilvl w:val="0"/>
          <w:numId w:val="9"/>
        </w:numPr>
        <w:spacing w:after="120"/>
        <w:jc w:val="both"/>
        <w:rPr>
          <w:rFonts w:ascii="Arial" w:hAnsi="Arial" w:cs="Arial"/>
          <w:b/>
          <w:sz w:val="28"/>
          <w:szCs w:val="28"/>
        </w:rPr>
      </w:pPr>
      <w:r w:rsidRPr="0064708A">
        <w:rPr>
          <w:rFonts w:ascii="Arial" w:hAnsi="Arial" w:cs="Arial"/>
          <w:b/>
          <w:sz w:val="28"/>
          <w:szCs w:val="28"/>
        </w:rPr>
        <w:t>Financial Risk &amp; Campus/Site</w:t>
      </w:r>
    </w:p>
    <w:p w14:paraId="50C44603" w14:textId="77777777" w:rsidR="0064708A" w:rsidRPr="0064708A" w:rsidRDefault="0064708A" w:rsidP="0064708A">
      <w:pPr>
        <w:spacing w:after="120"/>
        <w:jc w:val="both"/>
        <w:rPr>
          <w:rFonts w:cs="Arial"/>
          <w:b/>
          <w:szCs w:val="22"/>
        </w:rPr>
      </w:pPr>
      <w:r w:rsidRPr="0064708A">
        <w:rPr>
          <w:rFonts w:cs="Arial"/>
          <w:b/>
          <w:szCs w:val="22"/>
        </w:rPr>
        <w:t xml:space="preserve">Edgbaston site: </w:t>
      </w:r>
    </w:p>
    <w:p w14:paraId="1ADD103C" w14:textId="2ABA1EB3" w:rsidR="0064708A" w:rsidRPr="0064708A" w:rsidRDefault="00442A4C" w:rsidP="0064708A">
      <w:pPr>
        <w:spacing w:after="120"/>
        <w:jc w:val="both"/>
        <w:rPr>
          <w:rFonts w:cs="Arial"/>
          <w:szCs w:val="22"/>
          <w:highlight w:val="yellow"/>
        </w:rPr>
      </w:pPr>
      <w:r w:rsidRPr="0064708A">
        <w:rPr>
          <w:rFonts w:cs="Arial"/>
          <w:szCs w:val="22"/>
        </w:rPr>
        <w:lastRenderedPageBreak/>
        <w:t xml:space="preserve">The lease on our present Edgbaston site lasts </w:t>
      </w:r>
      <w:r w:rsidRPr="00F01FFB">
        <w:rPr>
          <w:rFonts w:cs="Arial"/>
          <w:szCs w:val="22"/>
        </w:rPr>
        <w:t>until 2</w:t>
      </w:r>
      <w:r w:rsidR="00C16789" w:rsidRPr="00F01FFB">
        <w:rPr>
          <w:rFonts w:cs="Arial"/>
          <w:szCs w:val="22"/>
        </w:rPr>
        <w:t>062</w:t>
      </w:r>
      <w:r w:rsidRPr="00F01FFB">
        <w:rPr>
          <w:rFonts w:cs="Arial"/>
          <w:szCs w:val="22"/>
        </w:rPr>
        <w:t>.</w:t>
      </w:r>
      <w:r w:rsidRPr="0064708A">
        <w:rPr>
          <w:rFonts w:cs="Arial"/>
          <w:szCs w:val="22"/>
        </w:rPr>
        <w:t xml:space="preserve">  The land and buildings are owned by Calthorpe </w:t>
      </w:r>
      <w:proofErr w:type="gramStart"/>
      <w:r w:rsidR="0064708A" w:rsidRPr="0064708A">
        <w:rPr>
          <w:rFonts w:cs="Arial"/>
          <w:szCs w:val="22"/>
        </w:rPr>
        <w:t>E</w:t>
      </w:r>
      <w:r w:rsidRPr="0064708A">
        <w:rPr>
          <w:rFonts w:cs="Arial"/>
          <w:szCs w:val="22"/>
        </w:rPr>
        <w:t>states</w:t>
      </w:r>
      <w:r w:rsidR="0064708A" w:rsidRPr="0064708A">
        <w:rPr>
          <w:rFonts w:cs="Arial"/>
          <w:szCs w:val="22"/>
        </w:rPr>
        <w:t>,</w:t>
      </w:r>
      <w:r w:rsidR="00FC2A88">
        <w:rPr>
          <w:rFonts w:cs="Arial"/>
          <w:szCs w:val="22"/>
        </w:rPr>
        <w:t xml:space="preserve"> </w:t>
      </w:r>
      <w:r w:rsidRPr="0064708A">
        <w:rPr>
          <w:rFonts w:cs="Arial"/>
          <w:szCs w:val="22"/>
        </w:rPr>
        <w:t>and</w:t>
      </w:r>
      <w:proofErr w:type="gramEnd"/>
      <w:r w:rsidR="0064708A" w:rsidRPr="0064708A">
        <w:rPr>
          <w:rFonts w:cs="Arial"/>
          <w:szCs w:val="22"/>
        </w:rPr>
        <w:t xml:space="preserve"> are</w:t>
      </w:r>
      <w:r w:rsidRPr="0064708A">
        <w:rPr>
          <w:rFonts w:cs="Arial"/>
          <w:szCs w:val="22"/>
        </w:rPr>
        <w:t xml:space="preserve"> leased to us at a peppercorn annual rent </w:t>
      </w:r>
      <w:r w:rsidR="00F01FFB">
        <w:rPr>
          <w:rFonts w:cs="Arial"/>
          <w:szCs w:val="22"/>
        </w:rPr>
        <w:t xml:space="preserve">that has been in place for over 100 years.  </w:t>
      </w:r>
    </w:p>
    <w:p w14:paraId="6F4A2A8E" w14:textId="0CB791C0" w:rsidR="0064708A" w:rsidRPr="0064708A" w:rsidRDefault="00442A4C" w:rsidP="0064708A">
      <w:pPr>
        <w:spacing w:after="120"/>
        <w:jc w:val="both"/>
        <w:rPr>
          <w:rFonts w:cs="Arial"/>
          <w:szCs w:val="22"/>
        </w:rPr>
      </w:pPr>
      <w:r w:rsidRPr="0064708A">
        <w:rPr>
          <w:rFonts w:cs="Arial"/>
          <w:szCs w:val="22"/>
        </w:rPr>
        <w:t xml:space="preserve">The risks regarding this relate to </w:t>
      </w:r>
      <w:r w:rsidR="0064708A" w:rsidRPr="0064708A">
        <w:rPr>
          <w:rFonts w:cs="Arial"/>
          <w:szCs w:val="22"/>
        </w:rPr>
        <w:t>securing</w:t>
      </w:r>
      <w:r w:rsidRPr="0064708A">
        <w:rPr>
          <w:rFonts w:cs="Arial"/>
          <w:szCs w:val="22"/>
        </w:rPr>
        <w:t xml:space="preserve"> another site</w:t>
      </w:r>
      <w:r w:rsidR="00AC6B85">
        <w:rPr>
          <w:rFonts w:cs="Arial"/>
          <w:szCs w:val="22"/>
        </w:rPr>
        <w:t>,</w:t>
      </w:r>
      <w:r w:rsidRPr="0064708A">
        <w:rPr>
          <w:rFonts w:cs="Arial"/>
          <w:szCs w:val="22"/>
        </w:rPr>
        <w:t xml:space="preserve"> or paying an increase</w:t>
      </w:r>
      <w:r w:rsidR="0064708A" w:rsidRPr="0064708A">
        <w:rPr>
          <w:rFonts w:cs="Arial"/>
          <w:szCs w:val="22"/>
        </w:rPr>
        <w:t>d</w:t>
      </w:r>
      <w:r w:rsidRPr="0064708A">
        <w:rPr>
          <w:rFonts w:cs="Arial"/>
          <w:szCs w:val="22"/>
        </w:rPr>
        <w:t xml:space="preserve"> rent</w:t>
      </w:r>
      <w:r w:rsidR="0064708A" w:rsidRPr="0064708A">
        <w:rPr>
          <w:rFonts w:cs="Arial"/>
          <w:szCs w:val="22"/>
        </w:rPr>
        <w:t>, once the present lease expires</w:t>
      </w:r>
      <w:r w:rsidRPr="0064708A">
        <w:rPr>
          <w:rFonts w:cs="Arial"/>
          <w:szCs w:val="22"/>
        </w:rPr>
        <w:t xml:space="preserve">.  </w:t>
      </w:r>
      <w:r w:rsidR="0064708A" w:rsidRPr="0064708A">
        <w:rPr>
          <w:rFonts w:cs="Arial"/>
          <w:szCs w:val="22"/>
        </w:rPr>
        <w:t>We note, though,</w:t>
      </w:r>
      <w:r w:rsidRPr="0064708A">
        <w:rPr>
          <w:rFonts w:cs="Arial"/>
          <w:szCs w:val="22"/>
        </w:rPr>
        <w:t xml:space="preserve"> that Governors</w:t>
      </w:r>
      <w:r w:rsidR="0064708A" w:rsidRPr="0064708A">
        <w:rPr>
          <w:rFonts w:cs="Arial"/>
          <w:szCs w:val="22"/>
        </w:rPr>
        <w:t>’</w:t>
      </w:r>
      <w:r w:rsidRPr="0064708A">
        <w:rPr>
          <w:rFonts w:cs="Arial"/>
          <w:szCs w:val="22"/>
        </w:rPr>
        <w:t xml:space="preserve"> reserves </w:t>
      </w:r>
      <w:r w:rsidR="0064708A" w:rsidRPr="0064708A">
        <w:rPr>
          <w:rFonts w:cs="Arial"/>
          <w:szCs w:val="22"/>
        </w:rPr>
        <w:t>are comprised</w:t>
      </w:r>
      <w:r w:rsidRPr="0064708A">
        <w:rPr>
          <w:rFonts w:cs="Arial"/>
          <w:szCs w:val="22"/>
        </w:rPr>
        <w:t xml:space="preserve"> of assets that are not </w:t>
      </w:r>
      <w:r w:rsidR="0064708A" w:rsidRPr="0064708A">
        <w:rPr>
          <w:rFonts w:cs="Arial"/>
          <w:szCs w:val="22"/>
        </w:rPr>
        <w:t xml:space="preserve">formally </w:t>
      </w:r>
      <w:r w:rsidRPr="0064708A">
        <w:rPr>
          <w:rFonts w:cs="Arial"/>
          <w:szCs w:val="22"/>
        </w:rPr>
        <w:t xml:space="preserve">tied </w:t>
      </w:r>
      <w:r w:rsidR="0064708A" w:rsidRPr="0064708A">
        <w:rPr>
          <w:rFonts w:cs="Arial"/>
          <w:szCs w:val="22"/>
        </w:rPr>
        <w:t>to</w:t>
      </w:r>
      <w:r w:rsidRPr="0064708A">
        <w:rPr>
          <w:rFonts w:cs="Arial"/>
          <w:szCs w:val="22"/>
        </w:rPr>
        <w:t xml:space="preserve"> the campus property</w:t>
      </w:r>
      <w:r w:rsidR="0064708A" w:rsidRPr="0064708A">
        <w:rPr>
          <w:rFonts w:cs="Arial"/>
          <w:szCs w:val="22"/>
        </w:rPr>
        <w:t>,</w:t>
      </w:r>
      <w:r w:rsidRPr="0064708A">
        <w:rPr>
          <w:rFonts w:cs="Arial"/>
          <w:szCs w:val="22"/>
        </w:rPr>
        <w:t xml:space="preserve"> and therefore plans discussed below to teach students out in various scenarios relate to assets that are accessible and realisable whilst the teaching site can continue to function.  </w:t>
      </w:r>
    </w:p>
    <w:p w14:paraId="0210A8C5" w14:textId="529A2E7F" w:rsidR="0064708A" w:rsidRPr="0064708A" w:rsidRDefault="0064708A" w:rsidP="0064708A">
      <w:pPr>
        <w:spacing w:after="120"/>
        <w:jc w:val="both"/>
        <w:rPr>
          <w:rFonts w:cs="Arial"/>
          <w:szCs w:val="22"/>
        </w:rPr>
      </w:pPr>
      <w:r w:rsidRPr="0064708A">
        <w:rPr>
          <w:rFonts w:cs="Arial"/>
          <w:b/>
          <w:szCs w:val="22"/>
        </w:rPr>
        <w:t>Shallowford site:</w:t>
      </w:r>
      <w:r w:rsidRPr="0064708A">
        <w:rPr>
          <w:rFonts w:cs="Arial"/>
          <w:szCs w:val="22"/>
        </w:rPr>
        <w:t xml:space="preserve"> </w:t>
      </w:r>
    </w:p>
    <w:p w14:paraId="0880513D" w14:textId="72F1FA62" w:rsidR="0064708A" w:rsidRPr="0064708A" w:rsidRDefault="00442A4C" w:rsidP="004B3DEC">
      <w:pPr>
        <w:spacing w:after="120"/>
        <w:jc w:val="both"/>
        <w:rPr>
          <w:rFonts w:cs="Arial"/>
          <w:szCs w:val="22"/>
        </w:rPr>
      </w:pPr>
      <w:r w:rsidRPr="0064708A">
        <w:rPr>
          <w:rFonts w:cs="Arial"/>
          <w:szCs w:val="22"/>
        </w:rPr>
        <w:t>Our other teaching site at Shallowford House is owned by the Diocese of Lichfield</w:t>
      </w:r>
      <w:r w:rsidR="0064708A" w:rsidRPr="0064708A">
        <w:rPr>
          <w:rFonts w:cs="Arial"/>
          <w:szCs w:val="22"/>
        </w:rPr>
        <w:t xml:space="preserve">. The Foundation uses </w:t>
      </w:r>
      <w:r w:rsidR="004B3DEC">
        <w:rPr>
          <w:rFonts w:cs="Arial"/>
          <w:szCs w:val="22"/>
        </w:rPr>
        <w:t>the centre</w:t>
      </w:r>
      <w:r w:rsidRPr="0064708A">
        <w:rPr>
          <w:rFonts w:cs="Arial"/>
          <w:szCs w:val="22"/>
        </w:rPr>
        <w:t xml:space="preserve"> as part of our contract to deliver training </w:t>
      </w:r>
      <w:r w:rsidR="0064708A" w:rsidRPr="0064708A">
        <w:rPr>
          <w:rFonts w:cs="Arial"/>
          <w:szCs w:val="22"/>
        </w:rPr>
        <w:t>for their diocesan sponsored students</w:t>
      </w:r>
      <w:r w:rsidRPr="0064708A">
        <w:rPr>
          <w:rFonts w:cs="Arial"/>
          <w:szCs w:val="22"/>
        </w:rPr>
        <w:t>.  Were this site to be closed or incapacitated</w:t>
      </w:r>
      <w:r w:rsidR="0064708A" w:rsidRPr="0064708A">
        <w:rPr>
          <w:rFonts w:cs="Arial"/>
          <w:szCs w:val="22"/>
        </w:rPr>
        <w:t>:</w:t>
      </w:r>
    </w:p>
    <w:p w14:paraId="2DD172B7" w14:textId="433744FD" w:rsidR="004B3DEC" w:rsidRDefault="0064708A" w:rsidP="004B3DEC">
      <w:pPr>
        <w:pStyle w:val="ListParagraph"/>
        <w:numPr>
          <w:ilvl w:val="0"/>
          <w:numId w:val="11"/>
        </w:numPr>
        <w:spacing w:after="120" w:line="240" w:lineRule="auto"/>
        <w:ind w:left="856" w:hanging="357"/>
        <w:contextualSpacing w:val="0"/>
        <w:jc w:val="both"/>
        <w:rPr>
          <w:rFonts w:ascii="Arial" w:hAnsi="Arial" w:cs="Arial"/>
          <w:szCs w:val="22"/>
        </w:rPr>
      </w:pPr>
      <w:r w:rsidRPr="0064708A">
        <w:rPr>
          <w:rFonts w:ascii="Arial" w:hAnsi="Arial" w:cs="Arial"/>
          <w:szCs w:val="22"/>
        </w:rPr>
        <w:t>S</w:t>
      </w:r>
      <w:r w:rsidR="00442A4C" w:rsidRPr="0064708A">
        <w:rPr>
          <w:rFonts w:ascii="Arial" w:hAnsi="Arial" w:cs="Arial"/>
          <w:szCs w:val="22"/>
        </w:rPr>
        <w:t>tudents could transfer to teaching at Edgbaston</w:t>
      </w:r>
      <w:r w:rsidR="004B3DEC">
        <w:rPr>
          <w:rFonts w:ascii="Arial" w:hAnsi="Arial" w:cs="Arial"/>
          <w:szCs w:val="22"/>
        </w:rPr>
        <w:t xml:space="preserve">: for many Shallowford students, </w:t>
      </w:r>
      <w:r w:rsidR="00442A4C" w:rsidRPr="0064708A">
        <w:rPr>
          <w:rFonts w:ascii="Arial" w:hAnsi="Arial" w:cs="Arial"/>
          <w:szCs w:val="22"/>
        </w:rPr>
        <w:t>the Edgbaston campus is in fact just as accessible</w:t>
      </w:r>
      <w:r w:rsidR="004B3DEC">
        <w:rPr>
          <w:rFonts w:ascii="Arial" w:hAnsi="Arial" w:cs="Arial"/>
          <w:szCs w:val="22"/>
        </w:rPr>
        <w:t>/convenient, and there would</w:t>
      </w:r>
      <w:r w:rsidR="00AC6B85">
        <w:rPr>
          <w:rFonts w:ascii="Arial" w:hAnsi="Arial" w:cs="Arial"/>
          <w:szCs w:val="22"/>
        </w:rPr>
        <w:t xml:space="preserve"> therefore</w:t>
      </w:r>
      <w:r w:rsidR="004B3DEC">
        <w:rPr>
          <w:rFonts w:ascii="Arial" w:hAnsi="Arial" w:cs="Arial"/>
          <w:szCs w:val="22"/>
        </w:rPr>
        <w:t xml:space="preserve"> be minimal impact</w:t>
      </w:r>
      <w:r w:rsidR="00182402">
        <w:rPr>
          <w:rFonts w:ascii="Arial" w:hAnsi="Arial" w:cs="Arial"/>
          <w:szCs w:val="22"/>
        </w:rPr>
        <w:t xml:space="preserve"> upon them</w:t>
      </w:r>
      <w:r w:rsidR="00442A4C" w:rsidRPr="0064708A">
        <w:rPr>
          <w:rFonts w:ascii="Arial" w:hAnsi="Arial" w:cs="Arial"/>
          <w:szCs w:val="22"/>
        </w:rPr>
        <w:t>.  The</w:t>
      </w:r>
      <w:r w:rsidR="00182402">
        <w:rPr>
          <w:rFonts w:ascii="Arial" w:hAnsi="Arial" w:cs="Arial"/>
          <w:szCs w:val="22"/>
        </w:rPr>
        <w:t>ir</w:t>
      </w:r>
      <w:r w:rsidR="00442A4C" w:rsidRPr="0064708A">
        <w:rPr>
          <w:rFonts w:ascii="Arial" w:hAnsi="Arial" w:cs="Arial"/>
          <w:szCs w:val="22"/>
        </w:rPr>
        <w:t xml:space="preserve"> </w:t>
      </w:r>
      <w:r w:rsidR="00182402">
        <w:rPr>
          <w:rFonts w:ascii="Arial" w:hAnsi="Arial" w:cs="Arial"/>
          <w:szCs w:val="22"/>
        </w:rPr>
        <w:t xml:space="preserve">sponsoring </w:t>
      </w:r>
      <w:r w:rsidR="00442A4C" w:rsidRPr="0064708A">
        <w:rPr>
          <w:rFonts w:ascii="Arial" w:hAnsi="Arial" w:cs="Arial"/>
          <w:szCs w:val="22"/>
        </w:rPr>
        <w:t xml:space="preserve">diocese </w:t>
      </w:r>
      <w:r w:rsidR="004B3DEC">
        <w:rPr>
          <w:rFonts w:ascii="Arial" w:hAnsi="Arial" w:cs="Arial"/>
          <w:szCs w:val="22"/>
        </w:rPr>
        <w:t>reimburses</w:t>
      </w:r>
      <w:r w:rsidR="00442A4C" w:rsidRPr="0064708A">
        <w:rPr>
          <w:rFonts w:ascii="Arial" w:hAnsi="Arial" w:cs="Arial"/>
          <w:szCs w:val="22"/>
        </w:rPr>
        <w:t xml:space="preserve"> students studying at Shallowford </w:t>
      </w:r>
      <w:r w:rsidR="004B3DEC">
        <w:rPr>
          <w:rFonts w:ascii="Arial" w:hAnsi="Arial" w:cs="Arial"/>
          <w:szCs w:val="22"/>
        </w:rPr>
        <w:t xml:space="preserve">for </w:t>
      </w:r>
      <w:r w:rsidR="00442A4C" w:rsidRPr="0064708A">
        <w:rPr>
          <w:rFonts w:ascii="Arial" w:hAnsi="Arial" w:cs="Arial"/>
          <w:szCs w:val="22"/>
        </w:rPr>
        <w:t>their travel expenses</w:t>
      </w:r>
      <w:r w:rsidR="00182402">
        <w:rPr>
          <w:rFonts w:ascii="Arial" w:hAnsi="Arial" w:cs="Arial"/>
          <w:szCs w:val="22"/>
        </w:rPr>
        <w:t>,</w:t>
      </w:r>
      <w:r w:rsidR="00442A4C" w:rsidRPr="0064708A">
        <w:rPr>
          <w:rFonts w:ascii="Arial" w:hAnsi="Arial" w:cs="Arial"/>
          <w:szCs w:val="22"/>
        </w:rPr>
        <w:t xml:space="preserve"> and this </w:t>
      </w:r>
      <w:r w:rsidR="004B3DEC">
        <w:rPr>
          <w:rFonts w:ascii="Arial" w:hAnsi="Arial" w:cs="Arial"/>
          <w:szCs w:val="22"/>
        </w:rPr>
        <w:t>w</w:t>
      </w:r>
      <w:r w:rsidR="00442A4C" w:rsidRPr="0064708A">
        <w:rPr>
          <w:rFonts w:ascii="Arial" w:hAnsi="Arial" w:cs="Arial"/>
          <w:szCs w:val="22"/>
        </w:rPr>
        <w:t xml:space="preserve">ould </w:t>
      </w:r>
      <w:r w:rsidR="004B3DEC">
        <w:rPr>
          <w:rFonts w:ascii="Arial" w:hAnsi="Arial" w:cs="Arial"/>
          <w:szCs w:val="22"/>
        </w:rPr>
        <w:t xml:space="preserve">continue to </w:t>
      </w:r>
      <w:r w:rsidR="00442A4C" w:rsidRPr="0064708A">
        <w:rPr>
          <w:rFonts w:ascii="Arial" w:hAnsi="Arial" w:cs="Arial"/>
          <w:szCs w:val="22"/>
        </w:rPr>
        <w:t xml:space="preserve">cover travel to Edgbaston were the switch necessary.  </w:t>
      </w:r>
    </w:p>
    <w:p w14:paraId="428BE2ED" w14:textId="48BF1675" w:rsidR="00442A4C" w:rsidRPr="0064708A" w:rsidRDefault="00442A4C" w:rsidP="004B3DEC">
      <w:pPr>
        <w:pStyle w:val="ListParagraph"/>
        <w:numPr>
          <w:ilvl w:val="0"/>
          <w:numId w:val="11"/>
        </w:numPr>
        <w:spacing w:after="120" w:line="240" w:lineRule="auto"/>
        <w:ind w:left="856" w:hanging="357"/>
        <w:contextualSpacing w:val="0"/>
        <w:jc w:val="both"/>
        <w:rPr>
          <w:rFonts w:ascii="Arial" w:hAnsi="Arial" w:cs="Arial"/>
          <w:szCs w:val="22"/>
        </w:rPr>
      </w:pPr>
      <w:r w:rsidRPr="0064708A">
        <w:rPr>
          <w:rFonts w:ascii="Arial" w:hAnsi="Arial" w:cs="Arial"/>
          <w:szCs w:val="22"/>
        </w:rPr>
        <w:t>Further to that</w:t>
      </w:r>
      <w:r w:rsidR="004B3DEC">
        <w:rPr>
          <w:rFonts w:ascii="Arial" w:hAnsi="Arial" w:cs="Arial"/>
          <w:szCs w:val="22"/>
        </w:rPr>
        <w:t>,</w:t>
      </w:r>
      <w:r w:rsidRPr="0064708A">
        <w:rPr>
          <w:rFonts w:ascii="Arial" w:hAnsi="Arial" w:cs="Arial"/>
          <w:szCs w:val="22"/>
        </w:rPr>
        <w:t xml:space="preserve"> we would </w:t>
      </w:r>
      <w:r w:rsidR="004B3DEC">
        <w:rPr>
          <w:rFonts w:ascii="Arial" w:hAnsi="Arial" w:cs="Arial"/>
          <w:szCs w:val="22"/>
        </w:rPr>
        <w:t>consider</w:t>
      </w:r>
      <w:r w:rsidRPr="0064708A">
        <w:rPr>
          <w:rFonts w:ascii="Arial" w:hAnsi="Arial" w:cs="Arial"/>
          <w:szCs w:val="22"/>
        </w:rPr>
        <w:t xml:space="preserve"> individual circumstances</w:t>
      </w:r>
      <w:r w:rsidR="004B3DEC">
        <w:rPr>
          <w:rFonts w:ascii="Arial" w:hAnsi="Arial" w:cs="Arial"/>
          <w:szCs w:val="22"/>
        </w:rPr>
        <w:t>,</w:t>
      </w:r>
      <w:r w:rsidRPr="0064708A">
        <w:rPr>
          <w:rFonts w:ascii="Arial" w:hAnsi="Arial" w:cs="Arial"/>
          <w:szCs w:val="22"/>
        </w:rPr>
        <w:t xml:space="preserve"> and</w:t>
      </w:r>
      <w:r w:rsidR="00182402">
        <w:rPr>
          <w:rFonts w:ascii="Arial" w:hAnsi="Arial" w:cs="Arial"/>
          <w:szCs w:val="22"/>
        </w:rPr>
        <w:t>,</w:t>
      </w:r>
      <w:r w:rsidRPr="0064708A">
        <w:rPr>
          <w:rFonts w:ascii="Arial" w:hAnsi="Arial" w:cs="Arial"/>
          <w:szCs w:val="22"/>
        </w:rPr>
        <w:t xml:space="preserve"> if the time taken for travel were not possible for </w:t>
      </w:r>
      <w:r w:rsidR="00AC6B85">
        <w:rPr>
          <w:rFonts w:ascii="Arial" w:hAnsi="Arial" w:cs="Arial"/>
          <w:szCs w:val="22"/>
        </w:rPr>
        <w:t xml:space="preserve">particular </w:t>
      </w:r>
      <w:r w:rsidRPr="0064708A">
        <w:rPr>
          <w:rFonts w:ascii="Arial" w:hAnsi="Arial" w:cs="Arial"/>
          <w:szCs w:val="22"/>
        </w:rPr>
        <w:t>students</w:t>
      </w:r>
      <w:r w:rsidR="004B3DEC">
        <w:rPr>
          <w:rFonts w:ascii="Arial" w:hAnsi="Arial" w:cs="Arial"/>
          <w:szCs w:val="22"/>
        </w:rPr>
        <w:t>,</w:t>
      </w:r>
      <w:r w:rsidRPr="0064708A">
        <w:rPr>
          <w:rFonts w:ascii="Arial" w:hAnsi="Arial" w:cs="Arial"/>
          <w:szCs w:val="22"/>
        </w:rPr>
        <w:t xml:space="preserve"> then an alternative venue in Staffordshire would need to be located by the </w:t>
      </w:r>
      <w:r w:rsidR="008F2A65" w:rsidRPr="0064708A">
        <w:rPr>
          <w:rFonts w:ascii="Arial" w:hAnsi="Arial" w:cs="Arial"/>
          <w:szCs w:val="22"/>
        </w:rPr>
        <w:t>Foundation</w:t>
      </w:r>
      <w:r w:rsidRPr="0064708A">
        <w:rPr>
          <w:rFonts w:ascii="Arial" w:hAnsi="Arial" w:cs="Arial"/>
          <w:szCs w:val="22"/>
        </w:rPr>
        <w:t xml:space="preserve">. We have contacts with a number of conference/ teaching venues </w:t>
      </w:r>
      <w:r w:rsidR="004B3DEC">
        <w:rPr>
          <w:rFonts w:ascii="Arial" w:hAnsi="Arial" w:cs="Arial"/>
          <w:szCs w:val="22"/>
        </w:rPr>
        <w:t xml:space="preserve">in the region </w:t>
      </w:r>
      <w:r w:rsidRPr="0064708A">
        <w:rPr>
          <w:rFonts w:ascii="Arial" w:hAnsi="Arial" w:cs="Arial"/>
          <w:szCs w:val="22"/>
        </w:rPr>
        <w:t xml:space="preserve">that we have used for other </w:t>
      </w:r>
      <w:r w:rsidR="008F2A65" w:rsidRPr="0064708A">
        <w:rPr>
          <w:rFonts w:ascii="Arial" w:hAnsi="Arial" w:cs="Arial"/>
          <w:szCs w:val="22"/>
        </w:rPr>
        <w:t>one-off</w:t>
      </w:r>
      <w:r w:rsidRPr="0064708A">
        <w:rPr>
          <w:rFonts w:ascii="Arial" w:hAnsi="Arial" w:cs="Arial"/>
          <w:szCs w:val="22"/>
        </w:rPr>
        <w:t xml:space="preserve"> teaching events</w:t>
      </w:r>
      <w:r w:rsidR="004B3DEC">
        <w:rPr>
          <w:rFonts w:ascii="Arial" w:hAnsi="Arial" w:cs="Arial"/>
          <w:szCs w:val="22"/>
        </w:rPr>
        <w:t>,</w:t>
      </w:r>
      <w:r w:rsidRPr="0064708A">
        <w:rPr>
          <w:rFonts w:ascii="Arial" w:hAnsi="Arial" w:cs="Arial"/>
          <w:szCs w:val="22"/>
        </w:rPr>
        <w:t xml:space="preserve"> and would seek a suitable contract</w:t>
      </w:r>
      <w:r w:rsidR="004B3DEC">
        <w:rPr>
          <w:rFonts w:ascii="Arial" w:hAnsi="Arial" w:cs="Arial"/>
          <w:szCs w:val="22"/>
        </w:rPr>
        <w:t>/location</w:t>
      </w:r>
      <w:r w:rsidRPr="0064708A">
        <w:rPr>
          <w:rFonts w:ascii="Arial" w:hAnsi="Arial" w:cs="Arial"/>
          <w:szCs w:val="22"/>
        </w:rPr>
        <w:t xml:space="preserve"> accordingly.</w:t>
      </w:r>
    </w:p>
    <w:p w14:paraId="0B8D7F95" w14:textId="734417CD" w:rsidR="00442A4C" w:rsidRPr="0064708A" w:rsidRDefault="00442A4C" w:rsidP="00442A4C">
      <w:pPr>
        <w:ind w:left="360"/>
        <w:jc w:val="both"/>
        <w:rPr>
          <w:rFonts w:cs="Arial"/>
          <w:szCs w:val="22"/>
        </w:rPr>
      </w:pPr>
    </w:p>
    <w:p w14:paraId="62C46875" w14:textId="04A2C821" w:rsidR="0064708A" w:rsidRPr="00172FB0" w:rsidRDefault="0064708A" w:rsidP="0064708A">
      <w:pPr>
        <w:pStyle w:val="ListParagraph"/>
        <w:numPr>
          <w:ilvl w:val="0"/>
          <w:numId w:val="9"/>
        </w:numPr>
        <w:jc w:val="both"/>
        <w:rPr>
          <w:rFonts w:cs="Arial"/>
          <w:b/>
          <w:sz w:val="28"/>
          <w:szCs w:val="28"/>
        </w:rPr>
      </w:pPr>
      <w:r w:rsidRPr="00172FB0">
        <w:rPr>
          <w:rFonts w:cs="Arial"/>
          <w:b/>
          <w:sz w:val="28"/>
          <w:szCs w:val="28"/>
        </w:rPr>
        <w:t>Financial Risk</w:t>
      </w:r>
      <w:r>
        <w:rPr>
          <w:rFonts w:cs="Arial"/>
          <w:b/>
          <w:sz w:val="28"/>
          <w:szCs w:val="28"/>
        </w:rPr>
        <w:t xml:space="preserve"> &amp; University Validation</w:t>
      </w:r>
    </w:p>
    <w:p w14:paraId="6C4B6C11" w14:textId="65383808" w:rsidR="00451E6E" w:rsidRDefault="00442A4C" w:rsidP="00442A4C">
      <w:pPr>
        <w:jc w:val="both"/>
        <w:rPr>
          <w:rFonts w:cs="Arial"/>
          <w:szCs w:val="22"/>
        </w:rPr>
      </w:pPr>
      <w:r w:rsidRPr="00442A4C">
        <w:rPr>
          <w:rFonts w:cs="Arial"/>
          <w:szCs w:val="22"/>
        </w:rPr>
        <w:t>The risk of removal of university validation is low</w:t>
      </w:r>
      <w:r w:rsidR="00AC6B85">
        <w:rPr>
          <w:rFonts w:cs="Arial"/>
          <w:szCs w:val="22"/>
        </w:rPr>
        <w:t>,</w:t>
      </w:r>
      <w:r w:rsidR="00451E6E">
        <w:rPr>
          <w:rFonts w:cs="Arial"/>
          <w:szCs w:val="22"/>
        </w:rPr>
        <w:t xml:space="preserve"> due to the development and operation of our arrangement with </w:t>
      </w:r>
      <w:r w:rsidRPr="00442A4C">
        <w:rPr>
          <w:rFonts w:cs="Arial"/>
          <w:szCs w:val="22"/>
        </w:rPr>
        <w:t xml:space="preserve">Durham University </w:t>
      </w:r>
      <w:r w:rsidR="008F2A65">
        <w:rPr>
          <w:rFonts w:cs="Arial"/>
          <w:szCs w:val="22"/>
        </w:rPr>
        <w:t>Common Awards</w:t>
      </w:r>
      <w:r w:rsidR="00451E6E">
        <w:rPr>
          <w:rFonts w:cs="Arial"/>
          <w:szCs w:val="22"/>
        </w:rPr>
        <w:t>.</w:t>
      </w:r>
      <w:r w:rsidR="00D63C38">
        <w:rPr>
          <w:rStyle w:val="FootnoteReference"/>
          <w:rFonts w:cs="Arial"/>
          <w:szCs w:val="22"/>
        </w:rPr>
        <w:footnoteReference w:id="4"/>
      </w:r>
      <w:r w:rsidR="00451E6E">
        <w:rPr>
          <w:rFonts w:cs="Arial"/>
          <w:szCs w:val="22"/>
        </w:rPr>
        <w:t xml:space="preserve"> The</w:t>
      </w:r>
      <w:r w:rsidRPr="00442A4C">
        <w:rPr>
          <w:rFonts w:cs="Arial"/>
          <w:szCs w:val="22"/>
        </w:rPr>
        <w:t xml:space="preserve"> contract for ministerial training in Great Britain that commenced in September 2014 is due to be renewed for another 5 years in September 2019</w:t>
      </w:r>
      <w:r w:rsidR="00451E6E">
        <w:rPr>
          <w:rFonts w:cs="Arial"/>
          <w:szCs w:val="22"/>
        </w:rPr>
        <w:t xml:space="preserve">, and our institutional validation would continue to </w:t>
      </w:r>
      <w:r w:rsidR="00A251A8">
        <w:rPr>
          <w:rFonts w:cs="Arial"/>
          <w:szCs w:val="22"/>
        </w:rPr>
        <w:t xml:space="preserve">be </w:t>
      </w:r>
      <w:r w:rsidR="00451E6E">
        <w:rPr>
          <w:rFonts w:cs="Arial"/>
          <w:szCs w:val="22"/>
        </w:rPr>
        <w:t xml:space="preserve">operative within those arrangements. </w:t>
      </w:r>
    </w:p>
    <w:p w14:paraId="047C05B6" w14:textId="77777777" w:rsidR="00451E6E" w:rsidRDefault="00451E6E" w:rsidP="00442A4C">
      <w:pPr>
        <w:jc w:val="both"/>
        <w:rPr>
          <w:rFonts w:cs="Arial"/>
          <w:szCs w:val="22"/>
        </w:rPr>
      </w:pPr>
    </w:p>
    <w:p w14:paraId="4E6436AB" w14:textId="79417D40" w:rsidR="00442A4C" w:rsidRPr="00442A4C" w:rsidRDefault="00451E6E" w:rsidP="00442A4C">
      <w:pPr>
        <w:jc w:val="both"/>
        <w:rPr>
          <w:rFonts w:cs="Arial"/>
          <w:szCs w:val="22"/>
        </w:rPr>
      </w:pPr>
      <w:r>
        <w:rPr>
          <w:rFonts w:cs="Arial"/>
          <w:szCs w:val="22"/>
        </w:rPr>
        <w:t>In the unlikely event of the removal of validation, however, u</w:t>
      </w:r>
      <w:r w:rsidR="00442A4C" w:rsidRPr="00442A4C">
        <w:rPr>
          <w:rFonts w:cs="Arial"/>
          <w:szCs w:val="22"/>
        </w:rPr>
        <w:t>niversities taking the strategic decision to stop their existing validation arrangements is something that we have experience of in recent years and have responded to successfully by:</w:t>
      </w:r>
    </w:p>
    <w:p w14:paraId="75921928" w14:textId="5A72B44A" w:rsidR="00442A4C" w:rsidRPr="00442A4C" w:rsidRDefault="00442A4C" w:rsidP="00451E6E">
      <w:pPr>
        <w:pStyle w:val="ListParagraph"/>
        <w:numPr>
          <w:ilvl w:val="0"/>
          <w:numId w:val="12"/>
        </w:numPr>
        <w:spacing w:after="120" w:line="240" w:lineRule="auto"/>
        <w:ind w:left="856" w:hanging="357"/>
        <w:contextualSpacing w:val="0"/>
        <w:jc w:val="both"/>
        <w:rPr>
          <w:rFonts w:ascii="Arial" w:hAnsi="Arial" w:cs="Arial"/>
          <w:szCs w:val="22"/>
        </w:rPr>
      </w:pPr>
      <w:r w:rsidRPr="00442A4C">
        <w:rPr>
          <w:rFonts w:ascii="Arial" w:hAnsi="Arial" w:cs="Arial"/>
          <w:szCs w:val="22"/>
        </w:rPr>
        <w:t xml:space="preserve">Alerting all affected students to the end of the validating arrangements and their options for being taught out under their existing university regulations and </w:t>
      </w:r>
      <w:proofErr w:type="gramStart"/>
      <w:r w:rsidRPr="00442A4C">
        <w:rPr>
          <w:rFonts w:ascii="Arial" w:hAnsi="Arial" w:cs="Arial"/>
          <w:szCs w:val="22"/>
        </w:rPr>
        <w:t>programmes</w:t>
      </w:r>
      <w:r w:rsidR="00AC6B85">
        <w:rPr>
          <w:rFonts w:ascii="Arial" w:hAnsi="Arial" w:cs="Arial"/>
          <w:szCs w:val="22"/>
        </w:rPr>
        <w:t>,</w:t>
      </w:r>
      <w:r w:rsidRPr="00442A4C">
        <w:rPr>
          <w:rFonts w:ascii="Arial" w:hAnsi="Arial" w:cs="Arial"/>
          <w:szCs w:val="22"/>
        </w:rPr>
        <w:t xml:space="preserve"> or</w:t>
      </w:r>
      <w:proofErr w:type="gramEnd"/>
      <w:r w:rsidRPr="00442A4C">
        <w:rPr>
          <w:rFonts w:ascii="Arial" w:hAnsi="Arial" w:cs="Arial"/>
          <w:szCs w:val="22"/>
        </w:rPr>
        <w:t xml:space="preserve"> transferring to a new </w:t>
      </w:r>
      <w:r w:rsidR="00FC2A88">
        <w:rPr>
          <w:rFonts w:ascii="Arial" w:hAnsi="Arial" w:cs="Arial"/>
          <w:szCs w:val="22"/>
        </w:rPr>
        <w:t>appropriate offer</w:t>
      </w:r>
      <w:r w:rsidRPr="00442A4C">
        <w:rPr>
          <w:rFonts w:ascii="Arial" w:hAnsi="Arial" w:cs="Arial"/>
          <w:szCs w:val="22"/>
        </w:rPr>
        <w:t xml:space="preserve"> that we had negotiated with a </w:t>
      </w:r>
      <w:r w:rsidR="00FC2A88">
        <w:rPr>
          <w:rFonts w:ascii="Arial" w:hAnsi="Arial" w:cs="Arial"/>
          <w:szCs w:val="22"/>
        </w:rPr>
        <w:t xml:space="preserve">different </w:t>
      </w:r>
      <w:r w:rsidRPr="00442A4C">
        <w:rPr>
          <w:rFonts w:ascii="Arial" w:hAnsi="Arial" w:cs="Arial"/>
          <w:szCs w:val="22"/>
        </w:rPr>
        <w:t>validating partner.</w:t>
      </w:r>
    </w:p>
    <w:p w14:paraId="00DC07F9" w14:textId="17B3D38B" w:rsidR="00442A4C" w:rsidRPr="00442A4C" w:rsidRDefault="00442A4C" w:rsidP="00451E6E">
      <w:pPr>
        <w:pStyle w:val="ListParagraph"/>
        <w:numPr>
          <w:ilvl w:val="0"/>
          <w:numId w:val="12"/>
        </w:numPr>
        <w:spacing w:after="120" w:line="240" w:lineRule="auto"/>
        <w:ind w:left="856" w:hanging="357"/>
        <w:contextualSpacing w:val="0"/>
        <w:jc w:val="both"/>
        <w:rPr>
          <w:rFonts w:ascii="Arial" w:hAnsi="Arial" w:cs="Arial"/>
          <w:szCs w:val="22"/>
        </w:rPr>
      </w:pPr>
      <w:r w:rsidRPr="00442A4C">
        <w:rPr>
          <w:rFonts w:ascii="Arial" w:hAnsi="Arial" w:cs="Arial"/>
          <w:szCs w:val="22"/>
        </w:rPr>
        <w:t xml:space="preserve">Negotiating a </w:t>
      </w:r>
      <w:r w:rsidR="00FC2A88">
        <w:rPr>
          <w:rFonts w:ascii="Arial" w:hAnsi="Arial" w:cs="Arial"/>
          <w:szCs w:val="22"/>
        </w:rPr>
        <w:t>fresh</w:t>
      </w:r>
      <w:r w:rsidRPr="00442A4C">
        <w:rPr>
          <w:rFonts w:ascii="Arial" w:hAnsi="Arial" w:cs="Arial"/>
          <w:szCs w:val="22"/>
        </w:rPr>
        <w:t xml:space="preserve"> validation relationship with some new institutions and securing transitional arrangements for existing students.</w:t>
      </w:r>
    </w:p>
    <w:p w14:paraId="142A996D" w14:textId="3DF74E07" w:rsidR="00442A4C" w:rsidRPr="00442A4C" w:rsidRDefault="00442A4C" w:rsidP="00451E6E">
      <w:pPr>
        <w:pStyle w:val="ListParagraph"/>
        <w:numPr>
          <w:ilvl w:val="0"/>
          <w:numId w:val="12"/>
        </w:numPr>
        <w:spacing w:after="120" w:line="240" w:lineRule="auto"/>
        <w:ind w:left="856" w:hanging="357"/>
        <w:contextualSpacing w:val="0"/>
        <w:jc w:val="both"/>
        <w:rPr>
          <w:rFonts w:ascii="Arial" w:hAnsi="Arial" w:cs="Arial"/>
          <w:szCs w:val="22"/>
        </w:rPr>
      </w:pPr>
      <w:r w:rsidRPr="00442A4C">
        <w:rPr>
          <w:rFonts w:ascii="Arial" w:hAnsi="Arial" w:cs="Arial"/>
          <w:szCs w:val="22"/>
        </w:rPr>
        <w:t xml:space="preserve">Taking the strategic decision to </w:t>
      </w:r>
      <w:r w:rsidR="00A251A8">
        <w:rPr>
          <w:rFonts w:ascii="Arial" w:hAnsi="Arial" w:cs="Arial"/>
          <w:szCs w:val="22"/>
        </w:rPr>
        <w:t>implement</w:t>
      </w:r>
      <w:r w:rsidRPr="00442A4C">
        <w:rPr>
          <w:rFonts w:ascii="Arial" w:hAnsi="Arial" w:cs="Arial"/>
          <w:szCs w:val="22"/>
        </w:rPr>
        <w:t xml:space="preserve"> new validation arrangements </w:t>
      </w:r>
      <w:r w:rsidR="00A251A8">
        <w:rPr>
          <w:rFonts w:ascii="Arial" w:hAnsi="Arial" w:cs="Arial"/>
          <w:szCs w:val="22"/>
        </w:rPr>
        <w:t>only with</w:t>
      </w:r>
      <w:r w:rsidRPr="00442A4C">
        <w:rPr>
          <w:rFonts w:ascii="Arial" w:hAnsi="Arial" w:cs="Arial"/>
          <w:szCs w:val="22"/>
        </w:rPr>
        <w:t xml:space="preserve"> new students, allowing time for teach out of old arrangements, and for faculty to </w:t>
      </w:r>
      <w:r w:rsidRPr="00442A4C">
        <w:rPr>
          <w:rFonts w:ascii="Arial" w:hAnsi="Arial" w:cs="Arial"/>
          <w:szCs w:val="22"/>
        </w:rPr>
        <w:lastRenderedPageBreak/>
        <w:t>develop new modules and teaching materials year on year</w:t>
      </w:r>
      <w:r w:rsidR="00FC2A88">
        <w:rPr>
          <w:rFonts w:ascii="Arial" w:hAnsi="Arial" w:cs="Arial"/>
          <w:szCs w:val="22"/>
        </w:rPr>
        <w:t>, ensuring academic quality</w:t>
      </w:r>
      <w:r w:rsidRPr="00442A4C">
        <w:rPr>
          <w:rFonts w:ascii="Arial" w:hAnsi="Arial" w:cs="Arial"/>
          <w:szCs w:val="22"/>
        </w:rPr>
        <w:t>.</w:t>
      </w:r>
    </w:p>
    <w:p w14:paraId="414CA664" w14:textId="4C45ED4D" w:rsidR="00442A4C" w:rsidRPr="00442A4C" w:rsidRDefault="00442A4C" w:rsidP="00451E6E">
      <w:pPr>
        <w:pStyle w:val="ListParagraph"/>
        <w:numPr>
          <w:ilvl w:val="0"/>
          <w:numId w:val="12"/>
        </w:numPr>
        <w:spacing w:after="120" w:line="240" w:lineRule="auto"/>
        <w:ind w:left="856" w:hanging="357"/>
        <w:contextualSpacing w:val="0"/>
        <w:jc w:val="both"/>
        <w:rPr>
          <w:rFonts w:ascii="Arial" w:hAnsi="Arial" w:cs="Arial"/>
          <w:szCs w:val="22"/>
        </w:rPr>
      </w:pPr>
      <w:r w:rsidRPr="00442A4C">
        <w:rPr>
          <w:rFonts w:ascii="Arial" w:hAnsi="Arial" w:cs="Arial"/>
          <w:szCs w:val="22"/>
        </w:rPr>
        <w:t>During the transition years</w:t>
      </w:r>
      <w:r w:rsidR="00AC6B85">
        <w:rPr>
          <w:rFonts w:ascii="Arial" w:hAnsi="Arial" w:cs="Arial"/>
          <w:szCs w:val="22"/>
        </w:rPr>
        <w:t>,</w:t>
      </w:r>
      <w:r w:rsidRPr="00442A4C">
        <w:rPr>
          <w:rFonts w:ascii="Arial" w:hAnsi="Arial" w:cs="Arial"/>
          <w:szCs w:val="22"/>
        </w:rPr>
        <w:t xml:space="preserve"> ensuring each student has access to bespoke academic advice and handbook</w:t>
      </w:r>
      <w:r w:rsidR="00A251A8">
        <w:rPr>
          <w:rFonts w:ascii="Arial" w:hAnsi="Arial" w:cs="Arial"/>
          <w:szCs w:val="22"/>
        </w:rPr>
        <w:t>s</w:t>
      </w:r>
      <w:r w:rsidRPr="00442A4C">
        <w:rPr>
          <w:rFonts w:ascii="Arial" w:hAnsi="Arial" w:cs="Arial"/>
          <w:szCs w:val="22"/>
        </w:rPr>
        <w:t xml:space="preserve"> following their </w:t>
      </w:r>
      <w:r w:rsidR="00AC6B85">
        <w:rPr>
          <w:rFonts w:ascii="Arial" w:hAnsi="Arial" w:cs="Arial"/>
          <w:szCs w:val="22"/>
        </w:rPr>
        <w:t>specific</w:t>
      </w:r>
      <w:r w:rsidRPr="00442A4C">
        <w:rPr>
          <w:rFonts w:ascii="Arial" w:hAnsi="Arial" w:cs="Arial"/>
          <w:szCs w:val="22"/>
        </w:rPr>
        <w:t xml:space="preserve"> regulations.</w:t>
      </w:r>
    </w:p>
    <w:p w14:paraId="34982DB9" w14:textId="2F07FCD7" w:rsidR="00442A4C" w:rsidRPr="00442A4C" w:rsidRDefault="00442A4C" w:rsidP="00442A4C">
      <w:pPr>
        <w:jc w:val="both"/>
        <w:rPr>
          <w:rFonts w:cs="Arial"/>
          <w:szCs w:val="22"/>
        </w:rPr>
      </w:pPr>
      <w:r w:rsidRPr="00442A4C">
        <w:rPr>
          <w:rFonts w:cs="Arial"/>
          <w:szCs w:val="22"/>
        </w:rPr>
        <w:t>We believe we have been successful in managing such transitions</w:t>
      </w:r>
      <w:r w:rsidR="00AC6B85">
        <w:rPr>
          <w:rFonts w:cs="Arial"/>
          <w:szCs w:val="22"/>
        </w:rPr>
        <w:t>,</w:t>
      </w:r>
      <w:r w:rsidRPr="00442A4C">
        <w:rPr>
          <w:rFonts w:cs="Arial"/>
          <w:szCs w:val="22"/>
        </w:rPr>
        <w:t xml:space="preserve"> as evidenced by the recent comment in our QAA annual monitoring visit repor</w:t>
      </w:r>
      <w:r w:rsidR="00EA4E3F">
        <w:rPr>
          <w:rFonts w:cs="Arial"/>
          <w:szCs w:val="22"/>
        </w:rPr>
        <w:t>t,</w:t>
      </w:r>
      <w:r w:rsidR="00EA4E3F">
        <w:rPr>
          <w:rStyle w:val="FootnoteReference"/>
          <w:rFonts w:cs="Arial"/>
          <w:szCs w:val="22"/>
        </w:rPr>
        <w:footnoteReference w:id="5"/>
      </w:r>
      <w:r w:rsidR="00EA4E3F">
        <w:rPr>
          <w:rFonts w:cs="Arial"/>
          <w:szCs w:val="22"/>
        </w:rPr>
        <w:t xml:space="preserve"> </w:t>
      </w:r>
      <w:r w:rsidRPr="00442A4C">
        <w:rPr>
          <w:rFonts w:cs="Arial"/>
          <w:szCs w:val="22"/>
        </w:rPr>
        <w:t>and by the decision of Newman University to further validate our undergraduate programmes for 5 years to allow the comprehensive teach out of that programme</w:t>
      </w:r>
      <w:r w:rsidR="00451E6E">
        <w:rPr>
          <w:rFonts w:cs="Arial"/>
          <w:szCs w:val="22"/>
        </w:rPr>
        <w:t>. Their</w:t>
      </w:r>
      <w:r w:rsidRPr="00442A4C">
        <w:rPr>
          <w:rFonts w:cs="Arial"/>
          <w:szCs w:val="22"/>
        </w:rPr>
        <w:t xml:space="preserve"> feedback on </w:t>
      </w:r>
      <w:r w:rsidR="00451E6E">
        <w:rPr>
          <w:rFonts w:cs="Arial"/>
          <w:szCs w:val="22"/>
        </w:rPr>
        <w:t xml:space="preserve">the </w:t>
      </w:r>
      <w:r w:rsidRPr="00442A4C">
        <w:rPr>
          <w:rFonts w:cs="Arial"/>
          <w:szCs w:val="22"/>
        </w:rPr>
        <w:t xml:space="preserve">revalidation of </w:t>
      </w:r>
      <w:proofErr w:type="gramStart"/>
      <w:r w:rsidRPr="00442A4C">
        <w:rPr>
          <w:rFonts w:cs="Arial"/>
          <w:szCs w:val="22"/>
        </w:rPr>
        <w:t>our</w:t>
      </w:r>
      <w:proofErr w:type="gramEnd"/>
      <w:r w:rsidRPr="00442A4C">
        <w:rPr>
          <w:rFonts w:cs="Arial"/>
          <w:szCs w:val="22"/>
        </w:rPr>
        <w:t xml:space="preserve"> teach out arrangements and </w:t>
      </w:r>
      <w:r w:rsidR="00451E6E">
        <w:rPr>
          <w:rFonts w:cs="Arial"/>
          <w:szCs w:val="22"/>
        </w:rPr>
        <w:t xml:space="preserve">the </w:t>
      </w:r>
      <w:r w:rsidRPr="00442A4C">
        <w:rPr>
          <w:rFonts w:cs="Arial"/>
          <w:szCs w:val="22"/>
        </w:rPr>
        <w:t xml:space="preserve">student consultation </w:t>
      </w:r>
      <w:r w:rsidR="00451E6E">
        <w:rPr>
          <w:rFonts w:cs="Arial"/>
          <w:szCs w:val="22"/>
        </w:rPr>
        <w:t xml:space="preserve">which it comprised </w:t>
      </w:r>
      <w:r w:rsidRPr="00442A4C">
        <w:rPr>
          <w:rFonts w:cs="Arial"/>
          <w:szCs w:val="22"/>
        </w:rPr>
        <w:t>was very positive</w:t>
      </w:r>
      <w:r w:rsidR="00EA4E3F">
        <w:rPr>
          <w:rFonts w:cs="Arial"/>
          <w:szCs w:val="22"/>
        </w:rPr>
        <w:t>.</w:t>
      </w:r>
      <w:r w:rsidR="008F2A65">
        <w:rPr>
          <w:rStyle w:val="FootnoteReference"/>
          <w:rFonts w:cs="Arial"/>
          <w:szCs w:val="22"/>
        </w:rPr>
        <w:footnoteReference w:id="6"/>
      </w:r>
    </w:p>
    <w:p w14:paraId="3324DEA2" w14:textId="77777777" w:rsidR="00442A4C" w:rsidRPr="00442A4C" w:rsidRDefault="00442A4C" w:rsidP="00442A4C">
      <w:pPr>
        <w:ind w:left="360"/>
        <w:jc w:val="both"/>
        <w:rPr>
          <w:rFonts w:cs="Arial"/>
          <w:b/>
          <w:szCs w:val="22"/>
        </w:rPr>
      </w:pPr>
    </w:p>
    <w:p w14:paraId="287DAF3D" w14:textId="77777777" w:rsidR="00442A4C" w:rsidRPr="00451E6E" w:rsidRDefault="00442A4C" w:rsidP="00451E6E">
      <w:pPr>
        <w:pStyle w:val="ListParagraph"/>
        <w:numPr>
          <w:ilvl w:val="0"/>
          <w:numId w:val="13"/>
        </w:numPr>
        <w:jc w:val="both"/>
        <w:rPr>
          <w:rFonts w:ascii="Arial" w:hAnsi="Arial" w:cs="Arial"/>
          <w:b/>
          <w:sz w:val="28"/>
          <w:szCs w:val="28"/>
        </w:rPr>
      </w:pPr>
      <w:r w:rsidRPr="00451E6E">
        <w:rPr>
          <w:rFonts w:ascii="Arial" w:hAnsi="Arial" w:cs="Arial"/>
          <w:b/>
          <w:sz w:val="28"/>
          <w:szCs w:val="28"/>
        </w:rPr>
        <w:t>Strategic Risk</w:t>
      </w:r>
    </w:p>
    <w:p w14:paraId="45DD63E6" w14:textId="292B2DDB" w:rsidR="00EA4E3F" w:rsidRDefault="00442A4C" w:rsidP="00442A4C">
      <w:pPr>
        <w:jc w:val="both"/>
        <w:rPr>
          <w:rFonts w:cs="Arial"/>
          <w:szCs w:val="22"/>
        </w:rPr>
      </w:pPr>
      <w:r w:rsidRPr="00442A4C">
        <w:rPr>
          <w:rFonts w:cs="Arial"/>
          <w:szCs w:val="22"/>
        </w:rPr>
        <w:t>As we only teach one core discipline (Theology)</w:t>
      </w:r>
      <w:r w:rsidR="00EA4E3F">
        <w:rPr>
          <w:rFonts w:cs="Arial"/>
          <w:szCs w:val="22"/>
        </w:rPr>
        <w:t>,</w:t>
      </w:r>
      <w:r w:rsidRPr="00442A4C">
        <w:rPr>
          <w:rFonts w:cs="Arial"/>
          <w:szCs w:val="22"/>
        </w:rPr>
        <w:t xml:space="preserve"> our capacity to resource the teaching of that discipline is low risk.  </w:t>
      </w:r>
      <w:r w:rsidR="00EA4E3F">
        <w:rPr>
          <w:rFonts w:cs="Arial"/>
          <w:szCs w:val="22"/>
        </w:rPr>
        <w:t>Furthermore, m</w:t>
      </w:r>
      <w:r w:rsidRPr="00442A4C">
        <w:rPr>
          <w:rFonts w:cs="Arial"/>
          <w:szCs w:val="22"/>
        </w:rPr>
        <w:t xml:space="preserve">ost faculty members teach across several </w:t>
      </w:r>
      <w:r w:rsidR="00182402">
        <w:rPr>
          <w:rFonts w:cs="Arial"/>
          <w:szCs w:val="22"/>
        </w:rPr>
        <w:t>theological sub-</w:t>
      </w:r>
      <w:r w:rsidRPr="00442A4C">
        <w:rPr>
          <w:rFonts w:cs="Arial"/>
          <w:szCs w:val="22"/>
        </w:rPr>
        <w:t>disciplines and th</w:t>
      </w:r>
      <w:r w:rsidR="00EA4E3F">
        <w:rPr>
          <w:rFonts w:cs="Arial"/>
          <w:szCs w:val="22"/>
        </w:rPr>
        <w:t>is</w:t>
      </w:r>
      <w:r w:rsidRPr="00442A4C">
        <w:rPr>
          <w:rFonts w:cs="Arial"/>
          <w:szCs w:val="22"/>
        </w:rPr>
        <w:t xml:space="preserve"> reinforces our capacity to robustly resource our curricula and respond to sabbatical cover and other absence</w:t>
      </w:r>
      <w:r w:rsidR="00182402">
        <w:rPr>
          <w:rFonts w:cs="Arial"/>
          <w:szCs w:val="22"/>
        </w:rPr>
        <w:t>s</w:t>
      </w:r>
      <w:r w:rsidRPr="00442A4C">
        <w:rPr>
          <w:rFonts w:cs="Arial"/>
          <w:szCs w:val="22"/>
        </w:rPr>
        <w:t xml:space="preserve">. </w:t>
      </w:r>
    </w:p>
    <w:p w14:paraId="2B645A8E" w14:textId="77777777" w:rsidR="00EA4E3F" w:rsidRDefault="00EA4E3F" w:rsidP="00442A4C">
      <w:pPr>
        <w:jc w:val="both"/>
        <w:rPr>
          <w:rFonts w:cs="Arial"/>
          <w:szCs w:val="22"/>
        </w:rPr>
      </w:pPr>
    </w:p>
    <w:p w14:paraId="78B88E73" w14:textId="774B8D91" w:rsidR="00442A4C" w:rsidRPr="00442A4C" w:rsidRDefault="00442A4C" w:rsidP="00442A4C">
      <w:pPr>
        <w:jc w:val="both"/>
        <w:rPr>
          <w:rFonts w:cs="Arial"/>
          <w:szCs w:val="22"/>
        </w:rPr>
      </w:pPr>
      <w:r w:rsidRPr="00442A4C">
        <w:rPr>
          <w:rFonts w:cs="Arial"/>
          <w:szCs w:val="22"/>
        </w:rPr>
        <w:t xml:space="preserve">Areas </w:t>
      </w:r>
      <w:r w:rsidR="00EA4E3F">
        <w:rPr>
          <w:rFonts w:cs="Arial"/>
          <w:szCs w:val="22"/>
        </w:rPr>
        <w:t>where</w:t>
      </w:r>
      <w:r w:rsidRPr="00442A4C">
        <w:rPr>
          <w:rFonts w:cs="Arial"/>
          <w:szCs w:val="22"/>
        </w:rPr>
        <w:t xml:space="preserve"> we identify a more significant risk include:</w:t>
      </w:r>
    </w:p>
    <w:p w14:paraId="5B3DC311" w14:textId="14827072" w:rsidR="00442A4C" w:rsidRPr="00442A4C" w:rsidRDefault="00442A4C" w:rsidP="001E6448">
      <w:pPr>
        <w:pStyle w:val="ListParagraph"/>
        <w:numPr>
          <w:ilvl w:val="0"/>
          <w:numId w:val="14"/>
        </w:numPr>
        <w:spacing w:after="120" w:line="240" w:lineRule="auto"/>
        <w:ind w:left="856" w:hanging="357"/>
        <w:contextualSpacing w:val="0"/>
        <w:jc w:val="both"/>
        <w:rPr>
          <w:rFonts w:ascii="Arial" w:hAnsi="Arial" w:cs="Arial"/>
          <w:szCs w:val="22"/>
        </w:rPr>
      </w:pPr>
      <w:r w:rsidRPr="00AC6B85">
        <w:rPr>
          <w:rFonts w:ascii="Arial" w:hAnsi="Arial" w:cs="Arial"/>
          <w:i/>
          <w:szCs w:val="22"/>
        </w:rPr>
        <w:t xml:space="preserve">Change of </w:t>
      </w:r>
      <w:r w:rsidR="008F2A65" w:rsidRPr="00AC6B85">
        <w:rPr>
          <w:rFonts w:ascii="Arial" w:hAnsi="Arial" w:cs="Arial"/>
          <w:i/>
          <w:szCs w:val="22"/>
        </w:rPr>
        <w:t>Principal</w:t>
      </w:r>
      <w:r w:rsidR="001E6448">
        <w:rPr>
          <w:rFonts w:ascii="Arial" w:hAnsi="Arial" w:cs="Arial"/>
          <w:szCs w:val="22"/>
        </w:rPr>
        <w:t xml:space="preserve">: </w:t>
      </w:r>
      <w:r w:rsidR="001E6448" w:rsidRPr="001E6448">
        <w:rPr>
          <w:rFonts w:ascii="Arial" w:hAnsi="Arial" w:cs="Arial"/>
          <w:szCs w:val="22"/>
        </w:rPr>
        <w:t xml:space="preserve">this is mitigated by an extensive exit </w:t>
      </w:r>
      <w:r w:rsidR="00A251A8">
        <w:rPr>
          <w:rFonts w:ascii="Arial" w:hAnsi="Arial" w:cs="Arial"/>
          <w:szCs w:val="22"/>
        </w:rPr>
        <w:t>procedure</w:t>
      </w:r>
      <w:r w:rsidR="001E6448" w:rsidRPr="001E6448">
        <w:rPr>
          <w:rFonts w:ascii="Arial" w:hAnsi="Arial" w:cs="Arial"/>
          <w:szCs w:val="22"/>
        </w:rPr>
        <w:t xml:space="preserve"> accompanied by a lengthy period available to recruit and </w:t>
      </w:r>
      <w:r w:rsidR="00AC6B85">
        <w:rPr>
          <w:rFonts w:ascii="Arial" w:hAnsi="Arial" w:cs="Arial"/>
          <w:szCs w:val="22"/>
        </w:rPr>
        <w:t>enact</w:t>
      </w:r>
      <w:r w:rsidR="001E6448" w:rsidRPr="001E6448">
        <w:rPr>
          <w:rFonts w:ascii="Arial" w:hAnsi="Arial" w:cs="Arial"/>
          <w:szCs w:val="22"/>
        </w:rPr>
        <w:t xml:space="preserve"> handover. The sponsoring churches would be integrally involved with such an appointment, and this would ensure that the interests of the institution’s ecumenical mission and ethos were protected</w:t>
      </w:r>
      <w:r w:rsidR="00182402">
        <w:rPr>
          <w:rFonts w:ascii="Arial" w:hAnsi="Arial" w:cs="Arial"/>
          <w:szCs w:val="22"/>
        </w:rPr>
        <w:t>.</w:t>
      </w:r>
    </w:p>
    <w:p w14:paraId="6BD12AF6" w14:textId="1EBAB6F0" w:rsidR="001E6448" w:rsidRPr="00046D46" w:rsidRDefault="00442A4C" w:rsidP="00442A4C">
      <w:pPr>
        <w:pStyle w:val="ListParagraph"/>
        <w:numPr>
          <w:ilvl w:val="0"/>
          <w:numId w:val="14"/>
        </w:numPr>
        <w:spacing w:after="120" w:line="240" w:lineRule="auto"/>
        <w:ind w:left="856" w:hanging="357"/>
        <w:contextualSpacing w:val="0"/>
        <w:jc w:val="both"/>
        <w:rPr>
          <w:rFonts w:ascii="Arial" w:hAnsi="Arial" w:cs="Arial"/>
          <w:szCs w:val="22"/>
        </w:rPr>
      </w:pPr>
      <w:r w:rsidRPr="00AC6B85">
        <w:rPr>
          <w:rFonts w:ascii="Arial" w:hAnsi="Arial" w:cs="Arial"/>
          <w:i/>
          <w:szCs w:val="22"/>
        </w:rPr>
        <w:t>Not recruiting to an advertised post that requires a very specific subject specialism or skill se</w:t>
      </w:r>
      <w:r w:rsidRPr="00442A4C">
        <w:rPr>
          <w:rFonts w:ascii="Arial" w:hAnsi="Arial" w:cs="Arial"/>
          <w:szCs w:val="22"/>
        </w:rPr>
        <w:t>t</w:t>
      </w:r>
      <w:r w:rsidR="001E6448">
        <w:rPr>
          <w:rFonts w:ascii="Arial" w:hAnsi="Arial" w:cs="Arial"/>
          <w:szCs w:val="22"/>
        </w:rPr>
        <w:t xml:space="preserve">: </w:t>
      </w:r>
      <w:r w:rsidR="001E6448" w:rsidRPr="001E6448">
        <w:rPr>
          <w:rFonts w:ascii="Arial" w:hAnsi="Arial" w:cs="Arial"/>
          <w:szCs w:val="22"/>
        </w:rPr>
        <w:t xml:space="preserve">In the </w:t>
      </w:r>
      <w:r w:rsidR="00182402">
        <w:rPr>
          <w:rFonts w:ascii="Arial" w:hAnsi="Arial" w:cs="Arial"/>
          <w:szCs w:val="22"/>
        </w:rPr>
        <w:t xml:space="preserve">unlikely </w:t>
      </w:r>
      <w:r w:rsidR="001E6448" w:rsidRPr="001E6448">
        <w:rPr>
          <w:rFonts w:ascii="Arial" w:hAnsi="Arial" w:cs="Arial"/>
          <w:szCs w:val="22"/>
        </w:rPr>
        <w:t>event of this</w:t>
      </w:r>
      <w:r w:rsidR="00182402">
        <w:rPr>
          <w:rFonts w:ascii="Arial" w:hAnsi="Arial" w:cs="Arial"/>
          <w:szCs w:val="22"/>
        </w:rPr>
        <w:t xml:space="preserve"> happening</w:t>
      </w:r>
      <w:r w:rsidR="001E6448" w:rsidRPr="001E6448">
        <w:rPr>
          <w:rFonts w:ascii="Arial" w:hAnsi="Arial" w:cs="Arial"/>
          <w:szCs w:val="22"/>
        </w:rPr>
        <w:t xml:space="preserve">, we would seek to make an alternative associate appointment to cover that teaching area, or alternatively, arrange for students to take the corresponding module at an alternative Common Awards institution (and therefore still gain academic credit from Durham University towards their programme).  In the very unlikely event that alternative arrangements prove to be ultimately impossible to deliver, then we would seek to amend the curriculum to incorporate </w:t>
      </w:r>
      <w:r w:rsidR="00AC6B85">
        <w:rPr>
          <w:rFonts w:ascii="Arial" w:hAnsi="Arial" w:cs="Arial"/>
          <w:szCs w:val="22"/>
        </w:rPr>
        <w:t xml:space="preserve">an </w:t>
      </w:r>
      <w:r w:rsidR="001E6448" w:rsidRPr="001E6448">
        <w:rPr>
          <w:rFonts w:ascii="Arial" w:hAnsi="Arial" w:cs="Arial"/>
          <w:szCs w:val="22"/>
        </w:rPr>
        <w:t xml:space="preserve">alternative module.  </w:t>
      </w:r>
    </w:p>
    <w:p w14:paraId="74EBADC4" w14:textId="037182F8" w:rsidR="00442A4C" w:rsidRPr="00442A4C" w:rsidRDefault="00442A4C" w:rsidP="00442A4C">
      <w:pPr>
        <w:jc w:val="both"/>
        <w:rPr>
          <w:rFonts w:cs="Arial"/>
          <w:szCs w:val="22"/>
        </w:rPr>
      </w:pPr>
    </w:p>
    <w:p w14:paraId="34BA14B9" w14:textId="316686EB" w:rsidR="00442A4C" w:rsidRPr="00C65FE2" w:rsidRDefault="00C65FE2" w:rsidP="00442A4C">
      <w:pPr>
        <w:jc w:val="both"/>
        <w:rPr>
          <w:rFonts w:cs="Arial"/>
          <w:b/>
          <w:sz w:val="28"/>
          <w:szCs w:val="28"/>
        </w:rPr>
      </w:pPr>
      <w:r w:rsidRPr="00C65FE2">
        <w:rPr>
          <w:rFonts w:cs="Arial"/>
          <w:b/>
          <w:sz w:val="28"/>
          <w:szCs w:val="28"/>
        </w:rPr>
        <w:t xml:space="preserve">Measures within the enactment of the Student Protection Plan </w:t>
      </w:r>
    </w:p>
    <w:p w14:paraId="02386C99" w14:textId="77777777" w:rsidR="00EA4E3F" w:rsidRDefault="00EA4E3F" w:rsidP="00442A4C">
      <w:pPr>
        <w:rPr>
          <w:rFonts w:cs="Arial"/>
          <w:i/>
          <w:color w:val="002060"/>
          <w:szCs w:val="22"/>
        </w:rPr>
      </w:pPr>
    </w:p>
    <w:p w14:paraId="3ADEAE79" w14:textId="4452DEEF" w:rsidR="00442A4C" w:rsidRPr="00442A4C" w:rsidRDefault="00442A4C" w:rsidP="008A2868">
      <w:pPr>
        <w:jc w:val="both"/>
        <w:rPr>
          <w:rFonts w:cs="Arial"/>
          <w:szCs w:val="22"/>
        </w:rPr>
      </w:pPr>
      <w:r w:rsidRPr="00442A4C">
        <w:rPr>
          <w:rFonts w:cs="Arial"/>
          <w:szCs w:val="22"/>
        </w:rPr>
        <w:t xml:space="preserve">We have described above </w:t>
      </w:r>
      <w:r w:rsidR="001E6448">
        <w:rPr>
          <w:rFonts w:cs="Arial"/>
          <w:szCs w:val="22"/>
        </w:rPr>
        <w:t xml:space="preserve">the </w:t>
      </w:r>
      <w:r w:rsidRPr="00442A4C">
        <w:rPr>
          <w:rFonts w:cs="Arial"/>
          <w:szCs w:val="22"/>
        </w:rPr>
        <w:t>local and internal measures that we would take</w:t>
      </w:r>
      <w:r w:rsidR="001E6448">
        <w:rPr>
          <w:rFonts w:cs="Arial"/>
          <w:szCs w:val="22"/>
        </w:rPr>
        <w:t>,</w:t>
      </w:r>
      <w:r w:rsidRPr="00442A4C">
        <w:rPr>
          <w:rFonts w:cs="Arial"/>
          <w:szCs w:val="22"/>
        </w:rPr>
        <w:t xml:space="preserve"> or </w:t>
      </w:r>
      <w:r w:rsidR="001E6448">
        <w:rPr>
          <w:rFonts w:cs="Arial"/>
          <w:szCs w:val="22"/>
        </w:rPr>
        <w:t xml:space="preserve">where we </w:t>
      </w:r>
      <w:r w:rsidRPr="00442A4C">
        <w:rPr>
          <w:rFonts w:cs="Arial"/>
          <w:szCs w:val="22"/>
        </w:rPr>
        <w:t>already have a track record of having taken</w:t>
      </w:r>
      <w:r w:rsidR="001E6448">
        <w:rPr>
          <w:rFonts w:cs="Arial"/>
          <w:szCs w:val="22"/>
        </w:rPr>
        <w:t>,</w:t>
      </w:r>
      <w:r w:rsidRPr="00442A4C">
        <w:rPr>
          <w:rFonts w:cs="Arial"/>
          <w:szCs w:val="22"/>
        </w:rPr>
        <w:t xml:space="preserve"> in the event of there being a risk to the delivery of a course or programme.  We set out below the arrangements we would make with external bodies to safeguard the </w:t>
      </w:r>
      <w:r w:rsidR="00A251A8">
        <w:rPr>
          <w:rFonts w:cs="Arial"/>
          <w:szCs w:val="22"/>
        </w:rPr>
        <w:t>commitment made to all</w:t>
      </w:r>
      <w:r w:rsidRPr="00442A4C">
        <w:rPr>
          <w:rFonts w:cs="Arial"/>
          <w:szCs w:val="22"/>
        </w:rPr>
        <w:t xml:space="preserve"> students.</w:t>
      </w:r>
    </w:p>
    <w:p w14:paraId="0BD8292F" w14:textId="77777777" w:rsidR="00442A4C" w:rsidRPr="00442A4C" w:rsidRDefault="00442A4C" w:rsidP="008A2868">
      <w:pPr>
        <w:jc w:val="both"/>
        <w:rPr>
          <w:rFonts w:cs="Arial"/>
          <w:szCs w:val="22"/>
        </w:rPr>
      </w:pPr>
    </w:p>
    <w:p w14:paraId="7EB09FA6" w14:textId="1B3ABA16" w:rsidR="00442A4C" w:rsidRPr="00442A4C" w:rsidRDefault="00442A4C" w:rsidP="008A2868">
      <w:pPr>
        <w:jc w:val="both"/>
        <w:rPr>
          <w:rFonts w:cs="Arial"/>
          <w:szCs w:val="22"/>
        </w:rPr>
      </w:pPr>
      <w:r w:rsidRPr="00442A4C">
        <w:rPr>
          <w:rFonts w:cs="Arial"/>
          <w:szCs w:val="22"/>
        </w:rPr>
        <w:t xml:space="preserve">Our governing body policy on reserves means that the </w:t>
      </w:r>
      <w:r w:rsidR="008F2A65">
        <w:rPr>
          <w:rFonts w:cs="Arial"/>
          <w:szCs w:val="22"/>
        </w:rPr>
        <w:t>Foundation</w:t>
      </w:r>
      <w:r w:rsidRPr="00442A4C">
        <w:rPr>
          <w:rFonts w:cs="Arial"/>
          <w:szCs w:val="22"/>
        </w:rPr>
        <w:t xml:space="preserve"> would always have appropriate resources to teach out all programmes and fulfil all commitments</w:t>
      </w:r>
      <w:r w:rsidR="001E6448">
        <w:rPr>
          <w:rFonts w:cs="Arial"/>
          <w:szCs w:val="22"/>
        </w:rPr>
        <w:t>,</w:t>
      </w:r>
      <w:r w:rsidRPr="00442A4C">
        <w:rPr>
          <w:rFonts w:cs="Arial"/>
          <w:szCs w:val="22"/>
        </w:rPr>
        <w:t xml:space="preserve"> were the </w:t>
      </w:r>
      <w:r w:rsidR="001E6448">
        <w:rPr>
          <w:rFonts w:cs="Arial"/>
          <w:szCs w:val="22"/>
        </w:rPr>
        <w:t>G</w:t>
      </w:r>
      <w:r w:rsidRPr="00442A4C">
        <w:rPr>
          <w:rFonts w:cs="Arial"/>
          <w:szCs w:val="22"/>
        </w:rPr>
        <w:t>overnors ever to take the decision to close the institution.</w:t>
      </w:r>
    </w:p>
    <w:p w14:paraId="0D230A8E" w14:textId="77777777" w:rsidR="00442A4C" w:rsidRPr="00442A4C" w:rsidRDefault="00442A4C" w:rsidP="008A2868">
      <w:pPr>
        <w:jc w:val="both"/>
        <w:rPr>
          <w:rFonts w:cs="Arial"/>
          <w:szCs w:val="22"/>
        </w:rPr>
      </w:pPr>
    </w:p>
    <w:p w14:paraId="6CCCB464" w14:textId="77777777" w:rsidR="008A2868" w:rsidRDefault="00442A4C" w:rsidP="008A2868">
      <w:pPr>
        <w:spacing w:after="240"/>
        <w:jc w:val="both"/>
        <w:rPr>
          <w:rFonts w:cs="Arial"/>
          <w:szCs w:val="22"/>
        </w:rPr>
      </w:pPr>
      <w:r w:rsidRPr="00442A4C">
        <w:rPr>
          <w:rFonts w:cs="Arial"/>
          <w:szCs w:val="22"/>
        </w:rPr>
        <w:t>In the unlikely event of an unplanned closure</w:t>
      </w:r>
      <w:r w:rsidR="001E6448">
        <w:rPr>
          <w:rFonts w:cs="Arial"/>
          <w:szCs w:val="22"/>
        </w:rPr>
        <w:t xml:space="preserve"> (</w:t>
      </w:r>
      <w:r w:rsidRPr="00442A4C">
        <w:rPr>
          <w:rFonts w:cs="Arial"/>
          <w:szCs w:val="22"/>
        </w:rPr>
        <w:t xml:space="preserve">e.g. </w:t>
      </w:r>
      <w:r w:rsidR="001E6448">
        <w:rPr>
          <w:rFonts w:cs="Arial"/>
          <w:szCs w:val="22"/>
        </w:rPr>
        <w:t>f</w:t>
      </w:r>
      <w:r w:rsidRPr="00442A4C">
        <w:rPr>
          <w:rFonts w:cs="Arial"/>
          <w:szCs w:val="22"/>
        </w:rPr>
        <w:t>ire</w:t>
      </w:r>
      <w:r w:rsidR="001E6448">
        <w:rPr>
          <w:rFonts w:cs="Arial"/>
          <w:szCs w:val="22"/>
        </w:rPr>
        <w:t>), t</w:t>
      </w:r>
      <w:r w:rsidRPr="00442A4C">
        <w:rPr>
          <w:rFonts w:cs="Arial"/>
          <w:szCs w:val="22"/>
        </w:rPr>
        <w:t>he following mechanisms are in place</w:t>
      </w:r>
      <w:r w:rsidR="008A2868">
        <w:rPr>
          <w:rFonts w:cs="Arial"/>
          <w:szCs w:val="22"/>
        </w:rPr>
        <w:t>:</w:t>
      </w:r>
    </w:p>
    <w:p w14:paraId="2C09E818" w14:textId="77777777" w:rsidR="001079DE" w:rsidRDefault="00442A4C" w:rsidP="008A2868">
      <w:pPr>
        <w:pStyle w:val="ListParagraph"/>
        <w:numPr>
          <w:ilvl w:val="0"/>
          <w:numId w:val="15"/>
        </w:numPr>
        <w:spacing w:line="240" w:lineRule="auto"/>
        <w:ind w:left="856" w:hanging="357"/>
        <w:jc w:val="both"/>
        <w:rPr>
          <w:rFonts w:ascii="Arial" w:hAnsi="Arial" w:cs="Arial"/>
          <w:szCs w:val="22"/>
          <w:lang w:val="en-US"/>
        </w:rPr>
      </w:pPr>
      <w:r w:rsidRPr="008A2868">
        <w:rPr>
          <w:rFonts w:ascii="Arial" w:hAnsi="Arial" w:cs="Arial"/>
          <w:szCs w:val="22"/>
        </w:rPr>
        <w:t xml:space="preserve">The </w:t>
      </w:r>
      <w:r w:rsidR="008F2A65" w:rsidRPr="008A2868">
        <w:rPr>
          <w:rFonts w:ascii="Arial" w:hAnsi="Arial" w:cs="Arial"/>
          <w:szCs w:val="22"/>
        </w:rPr>
        <w:t>Common Awards</w:t>
      </w:r>
      <w:r w:rsidRPr="008A2868">
        <w:rPr>
          <w:rFonts w:ascii="Arial" w:hAnsi="Arial" w:cs="Arial"/>
          <w:szCs w:val="22"/>
        </w:rPr>
        <w:t xml:space="preserve"> validation arrangement is shared curriculum which has been designed and approved by the sponsoring churches and validated by</w:t>
      </w:r>
      <w:r w:rsidR="00A251A8">
        <w:rPr>
          <w:rFonts w:ascii="Arial" w:hAnsi="Arial" w:cs="Arial"/>
          <w:szCs w:val="22"/>
        </w:rPr>
        <w:t xml:space="preserve"> </w:t>
      </w:r>
      <w:r w:rsidRPr="008A2868">
        <w:rPr>
          <w:rFonts w:ascii="Arial" w:hAnsi="Arial" w:cs="Arial"/>
          <w:szCs w:val="22"/>
        </w:rPr>
        <w:t xml:space="preserve">Durham </w:t>
      </w:r>
      <w:r w:rsidR="00A251A8">
        <w:rPr>
          <w:rFonts w:ascii="Arial" w:hAnsi="Arial" w:cs="Arial"/>
          <w:szCs w:val="22"/>
        </w:rPr>
        <w:t xml:space="preserve">University </w:t>
      </w:r>
      <w:r w:rsidRPr="008A2868">
        <w:rPr>
          <w:rFonts w:ascii="Arial" w:hAnsi="Arial" w:cs="Arial"/>
          <w:szCs w:val="22"/>
        </w:rPr>
        <w:t xml:space="preserve">for all ministerial candidates in England. Within the confines of professional requirements and the </w:t>
      </w:r>
      <w:r w:rsidR="00A251A8">
        <w:rPr>
          <w:rFonts w:ascii="Arial" w:hAnsi="Arial" w:cs="Arial"/>
          <w:szCs w:val="22"/>
        </w:rPr>
        <w:t xml:space="preserve">QAA </w:t>
      </w:r>
      <w:r w:rsidRPr="008A2868">
        <w:rPr>
          <w:rFonts w:ascii="Arial" w:hAnsi="Arial" w:cs="Arial"/>
          <w:szCs w:val="22"/>
        </w:rPr>
        <w:t xml:space="preserve">Theology and Religious Studies subject </w:t>
      </w:r>
      <w:r w:rsidR="00A251A8">
        <w:rPr>
          <w:rFonts w:ascii="Arial" w:hAnsi="Arial" w:cs="Arial"/>
          <w:szCs w:val="22"/>
        </w:rPr>
        <w:t xml:space="preserve">benchmark </w:t>
      </w:r>
      <w:r w:rsidRPr="008A2868">
        <w:rPr>
          <w:rFonts w:ascii="Arial" w:hAnsi="Arial" w:cs="Arial"/>
          <w:szCs w:val="22"/>
        </w:rPr>
        <w:t>statement, t</w:t>
      </w:r>
      <w:r w:rsidRPr="008A2868">
        <w:rPr>
          <w:rFonts w:ascii="Arial" w:hAnsi="Arial" w:cs="Arial"/>
          <w:szCs w:val="22"/>
          <w:lang w:val="en-US"/>
        </w:rPr>
        <w:t>he curriculum is broad</w:t>
      </w:r>
      <w:r w:rsidR="008A2868">
        <w:rPr>
          <w:rFonts w:ascii="Arial" w:hAnsi="Arial" w:cs="Arial"/>
          <w:szCs w:val="22"/>
          <w:lang w:val="en-US"/>
        </w:rPr>
        <w:t xml:space="preserve">, </w:t>
      </w:r>
      <w:r w:rsidRPr="008A2868">
        <w:rPr>
          <w:rFonts w:ascii="Arial" w:hAnsi="Arial" w:cs="Arial"/>
          <w:szCs w:val="22"/>
          <w:lang w:val="en-US"/>
        </w:rPr>
        <w:t>and allows each Theological Educational Institution (TEI) to design a curriculum that is appropriate to their context and specialism.  Already embedded within the validation arrangements is the capacity for a student to take modules at another TEI and for students to transfer to another TEI to continue a programme without this involving formal accreditation of prior learning (APL).  As such</w:t>
      </w:r>
      <w:r w:rsidR="008A2868" w:rsidRPr="008A2868">
        <w:rPr>
          <w:rFonts w:ascii="Arial" w:hAnsi="Arial" w:cs="Arial"/>
          <w:szCs w:val="22"/>
          <w:lang w:val="en-US"/>
        </w:rPr>
        <w:t>,</w:t>
      </w:r>
      <w:r w:rsidRPr="008A2868">
        <w:rPr>
          <w:rFonts w:ascii="Arial" w:hAnsi="Arial" w:cs="Arial"/>
          <w:szCs w:val="22"/>
          <w:lang w:val="en-US"/>
        </w:rPr>
        <w:t xml:space="preserve"> all students on a </w:t>
      </w:r>
      <w:r w:rsidR="008F2A65" w:rsidRPr="008A2868">
        <w:rPr>
          <w:rFonts w:ascii="Arial" w:hAnsi="Arial" w:cs="Arial"/>
          <w:szCs w:val="22"/>
          <w:lang w:val="en-US"/>
        </w:rPr>
        <w:t>Common Awards</w:t>
      </w:r>
      <w:r w:rsidRPr="008A2868">
        <w:rPr>
          <w:rFonts w:ascii="Arial" w:hAnsi="Arial" w:cs="Arial"/>
          <w:szCs w:val="22"/>
          <w:lang w:val="en-US"/>
        </w:rPr>
        <w:t xml:space="preserve"> programme (</w:t>
      </w:r>
      <w:r w:rsidR="001079DE" w:rsidRPr="001079DE">
        <w:rPr>
          <w:rFonts w:ascii="Arial" w:hAnsi="Arial" w:cs="Arial"/>
          <w:szCs w:val="22"/>
          <w:lang w:val="en-US"/>
        </w:rPr>
        <w:t>approximately</w:t>
      </w:r>
      <w:r w:rsidRPr="001079DE">
        <w:rPr>
          <w:rFonts w:ascii="Arial" w:hAnsi="Arial" w:cs="Arial"/>
          <w:szCs w:val="22"/>
          <w:lang w:val="en-US"/>
        </w:rPr>
        <w:t xml:space="preserve"> </w:t>
      </w:r>
      <w:r w:rsidR="001079DE" w:rsidRPr="001079DE">
        <w:rPr>
          <w:rFonts w:ascii="Arial" w:hAnsi="Arial" w:cs="Arial"/>
          <w:szCs w:val="22"/>
          <w:lang w:val="en-US"/>
        </w:rPr>
        <w:t>80</w:t>
      </w:r>
      <w:r w:rsidRPr="001079DE">
        <w:rPr>
          <w:rFonts w:ascii="Arial" w:hAnsi="Arial" w:cs="Arial"/>
          <w:szCs w:val="22"/>
          <w:lang w:val="en-US"/>
        </w:rPr>
        <w:t xml:space="preserve"> % of the population)</w:t>
      </w:r>
      <w:r w:rsidRPr="008A2868">
        <w:rPr>
          <w:rFonts w:ascii="Arial" w:hAnsi="Arial" w:cs="Arial"/>
          <w:szCs w:val="22"/>
          <w:lang w:val="en-US"/>
        </w:rPr>
        <w:t xml:space="preserve"> have realistic and numerous options to transfer and continue study without danger to either academic or professional award</w:t>
      </w:r>
      <w:r w:rsidR="008A2868">
        <w:rPr>
          <w:rFonts w:ascii="Arial" w:hAnsi="Arial" w:cs="Arial"/>
          <w:szCs w:val="22"/>
          <w:lang w:val="en-US"/>
        </w:rPr>
        <w:t>.</w:t>
      </w:r>
      <w:r w:rsidRPr="008A2868">
        <w:rPr>
          <w:rStyle w:val="FootnoteReference"/>
          <w:rFonts w:ascii="Arial" w:hAnsi="Arial" w:cs="Arial"/>
          <w:szCs w:val="22"/>
          <w:lang w:val="en-US"/>
        </w:rPr>
        <w:footnoteReference w:id="7"/>
      </w:r>
      <w:r w:rsidRPr="008A2868">
        <w:rPr>
          <w:rFonts w:ascii="Arial" w:hAnsi="Arial" w:cs="Arial"/>
          <w:szCs w:val="22"/>
          <w:lang w:val="en-US"/>
        </w:rPr>
        <w:t xml:space="preserve"> </w:t>
      </w:r>
    </w:p>
    <w:p w14:paraId="586547AE" w14:textId="25E9929F" w:rsidR="001079DE" w:rsidRDefault="001079DE" w:rsidP="008A2868">
      <w:pPr>
        <w:pStyle w:val="ListParagraph"/>
        <w:numPr>
          <w:ilvl w:val="0"/>
          <w:numId w:val="15"/>
        </w:numPr>
        <w:spacing w:line="240" w:lineRule="auto"/>
        <w:ind w:left="856" w:hanging="357"/>
        <w:jc w:val="both"/>
        <w:rPr>
          <w:rFonts w:ascii="Arial" w:hAnsi="Arial" w:cs="Arial"/>
          <w:szCs w:val="22"/>
          <w:lang w:val="en-US"/>
        </w:rPr>
      </w:pPr>
      <w:r>
        <w:rPr>
          <w:rFonts w:ascii="Arial" w:hAnsi="Arial" w:cs="Arial"/>
          <w:szCs w:val="22"/>
          <w:lang w:val="en-US"/>
        </w:rPr>
        <w:t xml:space="preserve">For students following programmes validated by Newman University we would seek either to transfer them to another TEI with an accompanying credit transfer process (APL); or, if it were in the student’s best interests to transfer them to a Newman University Programme </w:t>
      </w:r>
      <w:proofErr w:type="gramStart"/>
      <w:r>
        <w:rPr>
          <w:rFonts w:ascii="Arial" w:hAnsi="Arial" w:cs="Arial"/>
          <w:szCs w:val="22"/>
          <w:lang w:val="en-US"/>
        </w:rPr>
        <w:t>in order to</w:t>
      </w:r>
      <w:proofErr w:type="gramEnd"/>
      <w:r>
        <w:rPr>
          <w:rFonts w:ascii="Arial" w:hAnsi="Arial" w:cs="Arial"/>
          <w:szCs w:val="22"/>
          <w:lang w:val="en-US"/>
        </w:rPr>
        <w:t xml:space="preserve"> finish their Newman University award.</w:t>
      </w:r>
      <w:r>
        <w:rPr>
          <w:rStyle w:val="FootnoteReference"/>
          <w:rFonts w:ascii="Arial" w:hAnsi="Arial" w:cs="Arial"/>
          <w:szCs w:val="22"/>
          <w:lang w:val="en-US"/>
        </w:rPr>
        <w:footnoteReference w:id="8"/>
      </w:r>
      <w:r>
        <w:rPr>
          <w:rFonts w:ascii="Arial" w:hAnsi="Arial" w:cs="Arial"/>
          <w:szCs w:val="22"/>
          <w:lang w:val="en-US"/>
        </w:rPr>
        <w:t xml:space="preserve">  In the event of loss of campus then staff would be deployed to the partners university to facilitate this process.</w:t>
      </w:r>
    </w:p>
    <w:p w14:paraId="24D62B3C" w14:textId="41087BDD" w:rsidR="001079DE" w:rsidRDefault="001079DE" w:rsidP="008A2868">
      <w:pPr>
        <w:pStyle w:val="ListParagraph"/>
        <w:numPr>
          <w:ilvl w:val="0"/>
          <w:numId w:val="15"/>
        </w:numPr>
        <w:spacing w:line="240" w:lineRule="auto"/>
        <w:ind w:left="856" w:hanging="357"/>
        <w:jc w:val="both"/>
        <w:rPr>
          <w:rFonts w:ascii="Arial" w:hAnsi="Arial" w:cs="Arial"/>
          <w:szCs w:val="22"/>
          <w:lang w:val="en-US"/>
        </w:rPr>
      </w:pPr>
      <w:r>
        <w:rPr>
          <w:rFonts w:ascii="Arial" w:hAnsi="Arial" w:cs="Arial"/>
          <w:szCs w:val="22"/>
          <w:lang w:val="en-US"/>
        </w:rPr>
        <w:t xml:space="preserve">For our research students we would transfer students fully to the oversight of VU </w:t>
      </w:r>
      <w:r w:rsidR="00FC2A88">
        <w:rPr>
          <w:rFonts w:ascii="Arial" w:hAnsi="Arial" w:cs="Arial"/>
          <w:szCs w:val="22"/>
          <w:lang w:val="en-US"/>
        </w:rPr>
        <w:t>Amsterdam</w:t>
      </w:r>
      <w:r>
        <w:rPr>
          <w:rFonts w:ascii="Arial" w:hAnsi="Arial" w:cs="Arial"/>
          <w:szCs w:val="22"/>
          <w:lang w:val="en-US"/>
        </w:rPr>
        <w:t xml:space="preserve"> and their faculty. </w:t>
      </w:r>
      <w:r w:rsidR="00FC2A88">
        <w:rPr>
          <w:rFonts w:ascii="Arial" w:hAnsi="Arial" w:cs="Arial"/>
          <w:szCs w:val="22"/>
          <w:lang w:val="en-US"/>
        </w:rPr>
        <w:t xml:space="preserve"> </w:t>
      </w:r>
      <w:r>
        <w:rPr>
          <w:rFonts w:ascii="Arial" w:hAnsi="Arial" w:cs="Arial"/>
          <w:szCs w:val="22"/>
          <w:lang w:val="en-US"/>
        </w:rPr>
        <w:t xml:space="preserve">This confirms their existing registration as full students of </w:t>
      </w:r>
      <w:r w:rsidR="00FC2A88">
        <w:rPr>
          <w:rFonts w:ascii="Arial" w:hAnsi="Arial" w:cs="Arial"/>
          <w:szCs w:val="22"/>
          <w:lang w:val="en-US"/>
        </w:rPr>
        <w:t>VU Amsterdam</w:t>
      </w:r>
      <w:r>
        <w:rPr>
          <w:rFonts w:ascii="Arial" w:hAnsi="Arial" w:cs="Arial"/>
          <w:szCs w:val="22"/>
          <w:lang w:val="en-US"/>
        </w:rPr>
        <w:t>.</w:t>
      </w:r>
    </w:p>
    <w:p w14:paraId="6E3D7B3D" w14:textId="0ED6C2C0" w:rsidR="001079DE" w:rsidRDefault="001079DE" w:rsidP="008A2868">
      <w:pPr>
        <w:pStyle w:val="ListParagraph"/>
        <w:numPr>
          <w:ilvl w:val="0"/>
          <w:numId w:val="15"/>
        </w:numPr>
        <w:spacing w:line="240" w:lineRule="auto"/>
        <w:ind w:left="856" w:hanging="357"/>
        <w:jc w:val="both"/>
        <w:rPr>
          <w:rFonts w:ascii="Arial" w:hAnsi="Arial" w:cs="Arial"/>
          <w:szCs w:val="22"/>
          <w:lang w:val="en-US"/>
        </w:rPr>
      </w:pPr>
      <w:r>
        <w:rPr>
          <w:rFonts w:ascii="Arial" w:hAnsi="Arial" w:cs="Arial"/>
          <w:szCs w:val="22"/>
          <w:lang w:val="en-US"/>
        </w:rPr>
        <w:t xml:space="preserve">For not for university credit students, we would seek an alternative location </w:t>
      </w:r>
      <w:proofErr w:type="gramStart"/>
      <w:r>
        <w:rPr>
          <w:rFonts w:ascii="Arial" w:hAnsi="Arial" w:cs="Arial"/>
          <w:szCs w:val="22"/>
          <w:lang w:val="en-US"/>
        </w:rPr>
        <w:t>in order to</w:t>
      </w:r>
      <w:proofErr w:type="gramEnd"/>
      <w:r>
        <w:rPr>
          <w:rFonts w:ascii="Arial" w:hAnsi="Arial" w:cs="Arial"/>
          <w:szCs w:val="22"/>
          <w:lang w:val="en-US"/>
        </w:rPr>
        <w:t xml:space="preserve"> meet our commitments to complete their training and preparation for ministry.</w:t>
      </w:r>
    </w:p>
    <w:p w14:paraId="714137B8" w14:textId="0DB0AC85" w:rsidR="00442A4C" w:rsidRPr="008A24BE" w:rsidRDefault="005325F1" w:rsidP="008A24BE">
      <w:pPr>
        <w:pStyle w:val="ListParagraph"/>
        <w:numPr>
          <w:ilvl w:val="0"/>
          <w:numId w:val="15"/>
        </w:numPr>
        <w:spacing w:line="240" w:lineRule="auto"/>
        <w:ind w:left="856" w:hanging="357"/>
        <w:jc w:val="both"/>
        <w:rPr>
          <w:rFonts w:ascii="Arial" w:hAnsi="Arial" w:cs="Arial"/>
          <w:szCs w:val="22"/>
          <w:lang w:val="en-US"/>
        </w:rPr>
      </w:pPr>
      <w:r w:rsidRPr="008A24BE">
        <w:rPr>
          <w:rFonts w:ascii="Arial" w:hAnsi="Arial" w:cs="Arial"/>
          <w:szCs w:val="22"/>
          <w:lang w:val="en-US"/>
        </w:rPr>
        <w:t>Queen’s already has experience of students transferring in from another TEI (through our curates programme), with minimal impact on the student and their studies.</w:t>
      </w:r>
      <w:r w:rsidR="00442A4C" w:rsidRPr="008A24BE">
        <w:rPr>
          <w:rFonts w:ascii="Arial" w:hAnsi="Arial" w:cs="Arial"/>
          <w:szCs w:val="22"/>
          <w:lang w:val="en-US"/>
        </w:rPr>
        <w:t xml:space="preserve"> </w:t>
      </w:r>
      <w:r w:rsidR="008A24BE" w:rsidRPr="008A24BE">
        <w:rPr>
          <w:rFonts w:ascii="Arial" w:hAnsi="Arial" w:cs="Arial"/>
          <w:szCs w:val="22"/>
          <w:lang w:val="en-US"/>
        </w:rPr>
        <w:t xml:space="preserve">This mitigates against the impact on Queens of another TEI closing and the expectation to receive transferred students. </w:t>
      </w:r>
      <w:r w:rsidR="008A24BE">
        <w:rPr>
          <w:rFonts w:ascii="Arial" w:hAnsi="Arial" w:cs="Arial"/>
          <w:szCs w:val="22"/>
        </w:rPr>
        <w:t xml:space="preserve">The </w:t>
      </w:r>
      <w:r w:rsidR="00442A4C" w:rsidRPr="008A24BE">
        <w:rPr>
          <w:rFonts w:ascii="Arial" w:hAnsi="Arial" w:cs="Arial"/>
          <w:szCs w:val="22"/>
        </w:rPr>
        <w:t xml:space="preserve">Queen’s </w:t>
      </w:r>
      <w:r w:rsidR="008F2A65" w:rsidRPr="008A24BE">
        <w:rPr>
          <w:rFonts w:ascii="Arial" w:hAnsi="Arial" w:cs="Arial"/>
          <w:szCs w:val="22"/>
        </w:rPr>
        <w:t>Foundation</w:t>
      </w:r>
      <w:r w:rsidR="00442A4C" w:rsidRPr="008A24BE">
        <w:rPr>
          <w:rFonts w:ascii="Arial" w:hAnsi="Arial" w:cs="Arial"/>
          <w:szCs w:val="22"/>
        </w:rPr>
        <w:t xml:space="preserve"> has offered </w:t>
      </w:r>
      <w:r w:rsidR="00F25083" w:rsidRPr="008A24BE">
        <w:rPr>
          <w:rFonts w:ascii="Arial" w:hAnsi="Arial" w:cs="Arial"/>
          <w:szCs w:val="22"/>
        </w:rPr>
        <w:t xml:space="preserve">the following arrangements to other TEIs, and it is anticipated that they would be reciprocated </w:t>
      </w:r>
      <w:r w:rsidR="008A24BE">
        <w:rPr>
          <w:rFonts w:ascii="Arial" w:hAnsi="Arial" w:cs="Arial"/>
          <w:szCs w:val="22"/>
        </w:rPr>
        <w:t>were Queen’s to close</w:t>
      </w:r>
      <w:r w:rsidR="00F25083" w:rsidRPr="008A24BE">
        <w:rPr>
          <w:rFonts w:ascii="Arial" w:hAnsi="Arial" w:cs="Arial"/>
          <w:szCs w:val="22"/>
        </w:rPr>
        <w:t>:</w:t>
      </w:r>
    </w:p>
    <w:p w14:paraId="6E0380C8" w14:textId="1CC5CA07" w:rsidR="00442A4C" w:rsidRPr="00F25083" w:rsidRDefault="00442A4C" w:rsidP="00975DB7">
      <w:pPr>
        <w:numPr>
          <w:ilvl w:val="0"/>
          <w:numId w:val="18"/>
        </w:numPr>
        <w:rPr>
          <w:rFonts w:eastAsia="Times New Roman" w:cs="Arial"/>
          <w:szCs w:val="22"/>
        </w:rPr>
      </w:pPr>
      <w:r w:rsidRPr="00F25083">
        <w:rPr>
          <w:rFonts w:eastAsia="Times New Roman" w:cs="Arial"/>
          <w:szCs w:val="22"/>
        </w:rPr>
        <w:t>That the student could transfer onto a similar programme that Queen’s already offers</w:t>
      </w:r>
      <w:r w:rsidR="00F25083">
        <w:rPr>
          <w:rFonts w:eastAsia="Times New Roman" w:cs="Arial"/>
          <w:szCs w:val="22"/>
        </w:rPr>
        <w:t>,</w:t>
      </w:r>
      <w:r w:rsidRPr="00F25083">
        <w:rPr>
          <w:rFonts w:eastAsia="Times New Roman" w:cs="Arial"/>
          <w:szCs w:val="22"/>
        </w:rPr>
        <w:t xml:space="preserve"> </w:t>
      </w:r>
      <w:proofErr w:type="gramStart"/>
      <w:r w:rsidRPr="00F25083">
        <w:rPr>
          <w:rFonts w:eastAsia="Times New Roman" w:cs="Arial"/>
          <w:szCs w:val="22"/>
        </w:rPr>
        <w:t>in order to</w:t>
      </w:r>
      <w:proofErr w:type="gramEnd"/>
      <w:r w:rsidRPr="00F25083">
        <w:rPr>
          <w:rFonts w:eastAsia="Times New Roman" w:cs="Arial"/>
          <w:szCs w:val="22"/>
        </w:rPr>
        <w:t xml:space="preserve"> facilitate completion of the course in a meaningful way</w:t>
      </w:r>
      <w:r w:rsidR="00F25083">
        <w:rPr>
          <w:rFonts w:eastAsia="Times New Roman" w:cs="Arial"/>
          <w:szCs w:val="22"/>
        </w:rPr>
        <w:t>,</w:t>
      </w:r>
      <w:r w:rsidRPr="00F25083">
        <w:rPr>
          <w:rFonts w:eastAsia="Times New Roman" w:cs="Arial"/>
          <w:szCs w:val="22"/>
        </w:rPr>
        <w:t xml:space="preserve"> and to meet </w:t>
      </w:r>
      <w:r w:rsidR="00F25083">
        <w:rPr>
          <w:rFonts w:eastAsia="Times New Roman" w:cs="Arial"/>
          <w:szCs w:val="22"/>
        </w:rPr>
        <w:t xml:space="preserve">the </w:t>
      </w:r>
      <w:r w:rsidRPr="00F25083">
        <w:rPr>
          <w:rFonts w:eastAsia="Times New Roman" w:cs="Arial"/>
          <w:szCs w:val="22"/>
        </w:rPr>
        <w:t>sponsoring churches</w:t>
      </w:r>
      <w:r w:rsidR="00F25083">
        <w:rPr>
          <w:rFonts w:eastAsia="Times New Roman" w:cs="Arial"/>
          <w:szCs w:val="22"/>
        </w:rPr>
        <w:t>’</w:t>
      </w:r>
      <w:r w:rsidRPr="00F25083">
        <w:rPr>
          <w:rFonts w:eastAsia="Times New Roman" w:cs="Arial"/>
          <w:szCs w:val="22"/>
        </w:rPr>
        <w:t xml:space="preserve"> requirements a</w:t>
      </w:r>
      <w:r w:rsidR="008A24BE">
        <w:rPr>
          <w:rFonts w:eastAsia="Times New Roman" w:cs="Arial"/>
          <w:szCs w:val="22"/>
        </w:rPr>
        <w:t>long with</w:t>
      </w:r>
      <w:r w:rsidRPr="00F25083">
        <w:rPr>
          <w:rFonts w:eastAsia="Times New Roman" w:cs="Arial"/>
          <w:szCs w:val="22"/>
        </w:rPr>
        <w:t xml:space="preserve"> </w:t>
      </w:r>
      <w:r w:rsidR="00F25083">
        <w:rPr>
          <w:rFonts w:eastAsia="Times New Roman" w:cs="Arial"/>
          <w:szCs w:val="22"/>
        </w:rPr>
        <w:t>those of the</w:t>
      </w:r>
      <w:r w:rsidRPr="00F25083">
        <w:rPr>
          <w:rFonts w:eastAsia="Times New Roman" w:cs="Arial"/>
          <w:szCs w:val="22"/>
        </w:rPr>
        <w:t xml:space="preserve"> validating university</w:t>
      </w:r>
      <w:r w:rsidR="00F25083">
        <w:rPr>
          <w:rFonts w:eastAsia="Times New Roman" w:cs="Arial"/>
          <w:szCs w:val="22"/>
        </w:rPr>
        <w:t>.</w:t>
      </w:r>
    </w:p>
    <w:p w14:paraId="17706B13" w14:textId="5094A1F9" w:rsidR="00442A4C" w:rsidRPr="00F25083" w:rsidRDefault="00442A4C" w:rsidP="00975DB7">
      <w:pPr>
        <w:numPr>
          <w:ilvl w:val="0"/>
          <w:numId w:val="18"/>
        </w:numPr>
        <w:rPr>
          <w:rFonts w:eastAsia="Times New Roman" w:cs="Arial"/>
          <w:szCs w:val="22"/>
        </w:rPr>
      </w:pPr>
      <w:r w:rsidRPr="00F25083">
        <w:rPr>
          <w:rFonts w:eastAsia="Times New Roman" w:cs="Arial"/>
          <w:szCs w:val="22"/>
        </w:rPr>
        <w:t xml:space="preserve">That the student </w:t>
      </w:r>
      <w:proofErr w:type="gramStart"/>
      <w:r w:rsidRPr="00F25083">
        <w:rPr>
          <w:rFonts w:eastAsia="Times New Roman" w:cs="Arial"/>
          <w:szCs w:val="22"/>
        </w:rPr>
        <w:t>is able to</w:t>
      </w:r>
      <w:proofErr w:type="gramEnd"/>
      <w:r w:rsidRPr="00F25083">
        <w:rPr>
          <w:rFonts w:eastAsia="Times New Roman" w:cs="Arial"/>
          <w:szCs w:val="22"/>
        </w:rPr>
        <w:t xml:space="preserve"> move to</w:t>
      </w:r>
      <w:r w:rsidR="008A24BE">
        <w:rPr>
          <w:rFonts w:eastAsia="Times New Roman" w:cs="Arial"/>
          <w:szCs w:val="22"/>
        </w:rPr>
        <w:t>,</w:t>
      </w:r>
      <w:r w:rsidR="00F25083">
        <w:rPr>
          <w:rFonts w:eastAsia="Times New Roman" w:cs="Arial"/>
          <w:szCs w:val="22"/>
        </w:rPr>
        <w:t xml:space="preserve"> and to</w:t>
      </w:r>
      <w:r w:rsidRPr="00F25083">
        <w:rPr>
          <w:rFonts w:eastAsia="Times New Roman" w:cs="Arial"/>
          <w:szCs w:val="22"/>
        </w:rPr>
        <w:t xml:space="preserve"> commit to the teach out</w:t>
      </w:r>
      <w:r w:rsidR="008A24BE">
        <w:rPr>
          <w:rFonts w:eastAsia="Times New Roman" w:cs="Arial"/>
          <w:szCs w:val="22"/>
        </w:rPr>
        <w:t>,</w:t>
      </w:r>
      <w:r w:rsidRPr="00F25083">
        <w:rPr>
          <w:rFonts w:eastAsia="Times New Roman" w:cs="Arial"/>
          <w:szCs w:val="22"/>
        </w:rPr>
        <w:t xml:space="preserve"> in Birmingham</w:t>
      </w:r>
      <w:r w:rsidR="00F25083">
        <w:rPr>
          <w:rFonts w:eastAsia="Times New Roman" w:cs="Arial"/>
          <w:szCs w:val="22"/>
        </w:rPr>
        <w:t>,</w:t>
      </w:r>
      <w:r w:rsidRPr="00F25083">
        <w:rPr>
          <w:rFonts w:eastAsia="Times New Roman" w:cs="Arial"/>
          <w:szCs w:val="22"/>
        </w:rPr>
        <w:t xml:space="preserve"> or to follow the part time route with </w:t>
      </w:r>
      <w:r w:rsidR="00F25083">
        <w:rPr>
          <w:rFonts w:eastAsia="Times New Roman" w:cs="Arial"/>
          <w:szCs w:val="22"/>
        </w:rPr>
        <w:t xml:space="preserve">a </w:t>
      </w:r>
      <w:r w:rsidRPr="00F25083">
        <w:rPr>
          <w:rFonts w:eastAsia="Times New Roman" w:cs="Arial"/>
          <w:szCs w:val="22"/>
        </w:rPr>
        <w:t>commitment at weekends and one evening per week.</w:t>
      </w:r>
    </w:p>
    <w:p w14:paraId="7F099540" w14:textId="70222A3C" w:rsidR="00F25083" w:rsidRDefault="00442A4C" w:rsidP="00975DB7">
      <w:pPr>
        <w:numPr>
          <w:ilvl w:val="0"/>
          <w:numId w:val="18"/>
        </w:numPr>
        <w:rPr>
          <w:rFonts w:eastAsia="Times New Roman" w:cs="Arial"/>
          <w:szCs w:val="22"/>
        </w:rPr>
      </w:pPr>
      <w:r w:rsidRPr="00F25083">
        <w:rPr>
          <w:rFonts w:eastAsia="Times New Roman" w:cs="Arial"/>
          <w:szCs w:val="22"/>
        </w:rPr>
        <w:lastRenderedPageBreak/>
        <w:t xml:space="preserve">That the </w:t>
      </w:r>
      <w:r w:rsidR="00F25083">
        <w:rPr>
          <w:rFonts w:eastAsia="Times New Roman" w:cs="Arial"/>
          <w:szCs w:val="22"/>
        </w:rPr>
        <w:t>other TEI’s</w:t>
      </w:r>
      <w:r w:rsidRPr="00F25083">
        <w:rPr>
          <w:rFonts w:eastAsia="Times New Roman" w:cs="Arial"/>
          <w:szCs w:val="22"/>
        </w:rPr>
        <w:t xml:space="preserve"> </w:t>
      </w:r>
      <w:r w:rsidR="008A24BE">
        <w:rPr>
          <w:rFonts w:eastAsia="Times New Roman" w:cs="Arial"/>
          <w:szCs w:val="22"/>
        </w:rPr>
        <w:t xml:space="preserve">Student </w:t>
      </w:r>
      <w:r w:rsidR="00F25083">
        <w:rPr>
          <w:rFonts w:eastAsia="Times New Roman" w:cs="Arial"/>
          <w:szCs w:val="22"/>
        </w:rPr>
        <w:t>P</w:t>
      </w:r>
      <w:r w:rsidRPr="00F25083">
        <w:rPr>
          <w:rFonts w:eastAsia="Times New Roman" w:cs="Arial"/>
          <w:szCs w:val="22"/>
        </w:rPr>
        <w:t xml:space="preserve">rotection </w:t>
      </w:r>
      <w:r w:rsidR="00F25083">
        <w:rPr>
          <w:rFonts w:eastAsia="Times New Roman" w:cs="Arial"/>
          <w:szCs w:val="22"/>
        </w:rPr>
        <w:t>P</w:t>
      </w:r>
      <w:r w:rsidRPr="00F25083">
        <w:rPr>
          <w:rFonts w:eastAsia="Times New Roman" w:cs="Arial"/>
          <w:szCs w:val="22"/>
        </w:rPr>
        <w:t xml:space="preserve">lan includes transfer of tuition fees/maintenance fees to the </w:t>
      </w:r>
      <w:r w:rsidR="008F2A65" w:rsidRPr="00F25083">
        <w:rPr>
          <w:rFonts w:eastAsia="Times New Roman" w:cs="Arial"/>
          <w:szCs w:val="22"/>
        </w:rPr>
        <w:t>Foundation</w:t>
      </w:r>
      <w:r w:rsidRPr="00F25083">
        <w:rPr>
          <w:rFonts w:eastAsia="Times New Roman" w:cs="Arial"/>
          <w:szCs w:val="22"/>
        </w:rPr>
        <w:t xml:space="preserve"> in respect of the remainder of the course that has not been delivered.</w:t>
      </w:r>
    </w:p>
    <w:p w14:paraId="77709078" w14:textId="6AB363D3" w:rsidR="00F25083" w:rsidRPr="00F25083" w:rsidRDefault="00442A4C" w:rsidP="00975DB7">
      <w:pPr>
        <w:numPr>
          <w:ilvl w:val="0"/>
          <w:numId w:val="18"/>
        </w:numPr>
        <w:rPr>
          <w:rFonts w:eastAsia="Times New Roman" w:cs="Arial"/>
          <w:szCs w:val="22"/>
        </w:rPr>
      </w:pPr>
      <w:r w:rsidRPr="00F25083">
        <w:rPr>
          <w:rFonts w:eastAsia="Times New Roman" w:cs="Arial"/>
          <w:szCs w:val="22"/>
        </w:rPr>
        <w:t xml:space="preserve">That the sponsoring church/diocese has been fully informed by the </w:t>
      </w:r>
      <w:r w:rsidR="00F25083" w:rsidRPr="00F25083">
        <w:rPr>
          <w:rFonts w:eastAsia="Times New Roman" w:cs="Arial"/>
          <w:szCs w:val="22"/>
        </w:rPr>
        <w:t>other TEI</w:t>
      </w:r>
      <w:r w:rsidRPr="00F25083">
        <w:rPr>
          <w:rFonts w:eastAsia="Times New Roman" w:cs="Arial"/>
          <w:szCs w:val="22"/>
        </w:rPr>
        <w:t xml:space="preserve"> and </w:t>
      </w:r>
      <w:r w:rsidR="00F25083" w:rsidRPr="00F25083">
        <w:rPr>
          <w:rFonts w:eastAsia="Times New Roman" w:cs="Arial"/>
          <w:szCs w:val="22"/>
        </w:rPr>
        <w:t xml:space="preserve">has </w:t>
      </w:r>
      <w:r w:rsidRPr="00F25083">
        <w:rPr>
          <w:rFonts w:eastAsia="Times New Roman" w:cs="Arial"/>
          <w:szCs w:val="22"/>
        </w:rPr>
        <w:t xml:space="preserve">agreed the transfer.  </w:t>
      </w:r>
    </w:p>
    <w:p w14:paraId="7BE8A198" w14:textId="64B5143C" w:rsidR="00442A4C" w:rsidRPr="00F25083" w:rsidRDefault="00442A4C" w:rsidP="00975DB7">
      <w:pPr>
        <w:numPr>
          <w:ilvl w:val="0"/>
          <w:numId w:val="18"/>
        </w:numPr>
        <w:rPr>
          <w:rFonts w:eastAsia="Times New Roman" w:cs="Arial"/>
          <w:szCs w:val="22"/>
        </w:rPr>
      </w:pPr>
      <w:r w:rsidRPr="00F25083">
        <w:rPr>
          <w:rFonts w:eastAsia="Times New Roman" w:cs="Arial"/>
          <w:szCs w:val="22"/>
        </w:rPr>
        <w:t xml:space="preserve">That Durham University </w:t>
      </w:r>
      <w:r w:rsidR="00F25083">
        <w:rPr>
          <w:rFonts w:eastAsia="Times New Roman" w:cs="Arial"/>
          <w:szCs w:val="22"/>
        </w:rPr>
        <w:t>has been</w:t>
      </w:r>
      <w:r w:rsidRPr="00F25083">
        <w:rPr>
          <w:rFonts w:eastAsia="Times New Roman" w:cs="Arial"/>
          <w:szCs w:val="22"/>
        </w:rPr>
        <w:t xml:space="preserve"> informed of the transfer</w:t>
      </w:r>
      <w:r w:rsidR="008A24BE">
        <w:rPr>
          <w:rFonts w:eastAsia="Times New Roman" w:cs="Arial"/>
          <w:szCs w:val="22"/>
        </w:rPr>
        <w:t>,</w:t>
      </w:r>
      <w:r w:rsidRPr="00F25083">
        <w:rPr>
          <w:rFonts w:eastAsia="Times New Roman" w:cs="Arial"/>
          <w:szCs w:val="22"/>
        </w:rPr>
        <w:t xml:space="preserve"> plus any associated request for suspension to facilitate </w:t>
      </w:r>
      <w:r w:rsidR="008A24BE">
        <w:rPr>
          <w:rFonts w:eastAsia="Times New Roman" w:cs="Arial"/>
          <w:szCs w:val="22"/>
        </w:rPr>
        <w:t>the move</w:t>
      </w:r>
      <w:r w:rsidRPr="00F25083">
        <w:rPr>
          <w:rFonts w:eastAsia="Times New Roman" w:cs="Arial"/>
          <w:szCs w:val="22"/>
        </w:rPr>
        <w:t xml:space="preserve"> (</w:t>
      </w:r>
      <w:r w:rsidR="008A24BE">
        <w:rPr>
          <w:rFonts w:eastAsia="Times New Roman" w:cs="Arial"/>
          <w:szCs w:val="22"/>
        </w:rPr>
        <w:t xml:space="preserve">e.g. for </w:t>
      </w:r>
      <w:r w:rsidRPr="00F25083">
        <w:rPr>
          <w:rFonts w:eastAsia="Times New Roman" w:cs="Arial"/>
          <w:szCs w:val="22"/>
        </w:rPr>
        <w:t>accommodation</w:t>
      </w:r>
      <w:r w:rsidR="008A24BE">
        <w:rPr>
          <w:rFonts w:eastAsia="Times New Roman" w:cs="Arial"/>
          <w:szCs w:val="22"/>
        </w:rPr>
        <w:t xml:space="preserve"> </w:t>
      </w:r>
      <w:r w:rsidR="008F2A65" w:rsidRPr="00F25083">
        <w:rPr>
          <w:rFonts w:eastAsia="Times New Roman" w:cs="Arial"/>
          <w:szCs w:val="22"/>
        </w:rPr>
        <w:t>and</w:t>
      </w:r>
      <w:r w:rsidRPr="00F25083">
        <w:rPr>
          <w:rFonts w:eastAsia="Times New Roman" w:cs="Arial"/>
          <w:szCs w:val="22"/>
        </w:rPr>
        <w:t xml:space="preserve"> </w:t>
      </w:r>
      <w:r w:rsidR="008A24BE">
        <w:rPr>
          <w:rFonts w:eastAsia="Times New Roman" w:cs="Arial"/>
          <w:szCs w:val="22"/>
        </w:rPr>
        <w:t xml:space="preserve">any </w:t>
      </w:r>
      <w:r w:rsidR="00F25083">
        <w:rPr>
          <w:rFonts w:eastAsia="Times New Roman" w:cs="Arial"/>
          <w:szCs w:val="22"/>
        </w:rPr>
        <w:t>necessary elongation of</w:t>
      </w:r>
      <w:r w:rsidRPr="00F25083">
        <w:rPr>
          <w:rFonts w:eastAsia="Times New Roman" w:cs="Arial"/>
          <w:szCs w:val="22"/>
        </w:rPr>
        <w:t xml:space="preserve"> the permitted period of study.</w:t>
      </w:r>
    </w:p>
    <w:p w14:paraId="0DD6D0F6" w14:textId="1BDBDDD9" w:rsidR="00442A4C" w:rsidRPr="00F25083" w:rsidRDefault="00442A4C" w:rsidP="00975DB7">
      <w:pPr>
        <w:numPr>
          <w:ilvl w:val="0"/>
          <w:numId w:val="18"/>
        </w:numPr>
        <w:rPr>
          <w:rFonts w:eastAsia="Times New Roman" w:cs="Arial"/>
          <w:szCs w:val="22"/>
        </w:rPr>
      </w:pPr>
      <w:r w:rsidRPr="00F25083">
        <w:rPr>
          <w:rFonts w:eastAsia="Times New Roman" w:cs="Arial"/>
          <w:szCs w:val="22"/>
        </w:rPr>
        <w:t xml:space="preserve">That the </w:t>
      </w:r>
      <w:r w:rsidR="00F25083">
        <w:rPr>
          <w:rFonts w:eastAsia="Times New Roman" w:cs="Arial"/>
          <w:szCs w:val="22"/>
        </w:rPr>
        <w:t>other TEI</w:t>
      </w:r>
      <w:r w:rsidRPr="00F25083">
        <w:rPr>
          <w:rFonts w:eastAsia="Times New Roman" w:cs="Arial"/>
          <w:szCs w:val="22"/>
        </w:rPr>
        <w:t xml:space="preserve"> would obtain the student</w:t>
      </w:r>
      <w:r w:rsidR="00F25083">
        <w:rPr>
          <w:rFonts w:eastAsia="Times New Roman" w:cs="Arial"/>
          <w:szCs w:val="22"/>
        </w:rPr>
        <w:t>’</w:t>
      </w:r>
      <w:r w:rsidRPr="00F25083">
        <w:rPr>
          <w:rFonts w:eastAsia="Times New Roman" w:cs="Arial"/>
          <w:szCs w:val="22"/>
        </w:rPr>
        <w:t xml:space="preserve">s consent for sharing information with the </w:t>
      </w:r>
      <w:r w:rsidR="008F2A65" w:rsidRPr="00F25083">
        <w:rPr>
          <w:rFonts w:eastAsia="Times New Roman" w:cs="Arial"/>
          <w:szCs w:val="22"/>
        </w:rPr>
        <w:t>Foundation</w:t>
      </w:r>
      <w:r w:rsidRPr="00F25083">
        <w:rPr>
          <w:rFonts w:eastAsia="Times New Roman" w:cs="Arial"/>
          <w:szCs w:val="22"/>
        </w:rPr>
        <w:t xml:space="preserve"> when negotiating such a transfer</w:t>
      </w:r>
      <w:r w:rsidR="00F25083">
        <w:rPr>
          <w:rFonts w:eastAsia="Times New Roman" w:cs="Arial"/>
          <w:szCs w:val="22"/>
        </w:rPr>
        <w:t>,</w:t>
      </w:r>
      <w:r w:rsidRPr="00F25083">
        <w:rPr>
          <w:rFonts w:eastAsia="Times New Roman" w:cs="Arial"/>
          <w:szCs w:val="22"/>
        </w:rPr>
        <w:t xml:space="preserve"> and would facilitate the transfer of academic and formational records and be able to respond to queries and clarification after the transfer has taken place.</w:t>
      </w:r>
    </w:p>
    <w:p w14:paraId="051B2857" w14:textId="68D86E0D" w:rsidR="00442A4C" w:rsidRPr="00F25083" w:rsidRDefault="00442A4C" w:rsidP="00975DB7">
      <w:pPr>
        <w:numPr>
          <w:ilvl w:val="0"/>
          <w:numId w:val="18"/>
        </w:numPr>
        <w:rPr>
          <w:rFonts w:eastAsia="Times New Roman" w:cs="Arial"/>
          <w:szCs w:val="22"/>
        </w:rPr>
      </w:pPr>
      <w:r w:rsidRPr="00F25083">
        <w:rPr>
          <w:rFonts w:eastAsia="Times New Roman" w:cs="Arial"/>
          <w:szCs w:val="22"/>
        </w:rPr>
        <w:t xml:space="preserve">That the </w:t>
      </w:r>
      <w:r w:rsidR="00F25083">
        <w:rPr>
          <w:rFonts w:eastAsia="Times New Roman" w:cs="Arial"/>
          <w:szCs w:val="22"/>
        </w:rPr>
        <w:t>other TEI</w:t>
      </w:r>
      <w:r w:rsidRPr="00F25083">
        <w:rPr>
          <w:rFonts w:eastAsia="Times New Roman" w:cs="Arial"/>
          <w:szCs w:val="22"/>
        </w:rPr>
        <w:t xml:space="preserve"> would take responsibility </w:t>
      </w:r>
      <w:r w:rsidR="008A24BE">
        <w:rPr>
          <w:rFonts w:eastAsia="Times New Roman" w:cs="Arial"/>
          <w:szCs w:val="22"/>
        </w:rPr>
        <w:t>for</w:t>
      </w:r>
      <w:r w:rsidRPr="00F25083">
        <w:rPr>
          <w:rFonts w:eastAsia="Times New Roman" w:cs="Arial"/>
          <w:szCs w:val="22"/>
        </w:rPr>
        <w:t xml:space="preserve"> any compensation owed to the student </w:t>
      </w:r>
      <w:r w:rsidR="008A24BE">
        <w:rPr>
          <w:rFonts w:eastAsia="Times New Roman" w:cs="Arial"/>
          <w:szCs w:val="22"/>
        </w:rPr>
        <w:t>and for</w:t>
      </w:r>
      <w:r w:rsidRPr="00F25083">
        <w:rPr>
          <w:rFonts w:eastAsia="Times New Roman" w:cs="Arial"/>
          <w:szCs w:val="22"/>
        </w:rPr>
        <w:t xml:space="preserve"> complaint to the OIA arising from the student</w:t>
      </w:r>
      <w:r w:rsidR="008A24BE">
        <w:rPr>
          <w:rFonts w:eastAsia="Times New Roman" w:cs="Arial"/>
          <w:szCs w:val="22"/>
        </w:rPr>
        <w:t>,</w:t>
      </w:r>
      <w:r w:rsidRPr="00F25083">
        <w:rPr>
          <w:rFonts w:eastAsia="Times New Roman" w:cs="Arial"/>
          <w:szCs w:val="22"/>
        </w:rPr>
        <w:t xml:space="preserve"> </w:t>
      </w:r>
      <w:proofErr w:type="gramStart"/>
      <w:r w:rsidRPr="00F25083">
        <w:rPr>
          <w:rFonts w:eastAsia="Times New Roman" w:cs="Arial"/>
          <w:szCs w:val="22"/>
        </w:rPr>
        <w:t>as a result of</w:t>
      </w:r>
      <w:proofErr w:type="gramEnd"/>
      <w:r w:rsidRPr="00F25083">
        <w:rPr>
          <w:rFonts w:eastAsia="Times New Roman" w:cs="Arial"/>
          <w:szCs w:val="22"/>
        </w:rPr>
        <w:t xml:space="preserve"> the need for the transfer</w:t>
      </w:r>
      <w:r w:rsidR="00F25083">
        <w:rPr>
          <w:rFonts w:eastAsia="Times New Roman" w:cs="Arial"/>
          <w:szCs w:val="22"/>
        </w:rPr>
        <w:t>,</w:t>
      </w:r>
      <w:r w:rsidRPr="00F25083">
        <w:rPr>
          <w:rFonts w:eastAsia="Times New Roman" w:cs="Arial"/>
          <w:szCs w:val="22"/>
        </w:rPr>
        <w:t xml:space="preserve"> and that this</w:t>
      </w:r>
      <w:r w:rsidR="00F25083">
        <w:rPr>
          <w:rFonts w:eastAsia="Times New Roman" w:cs="Arial"/>
          <w:szCs w:val="22"/>
        </w:rPr>
        <w:t xml:space="preserve"> would be</w:t>
      </w:r>
      <w:r w:rsidRPr="00F25083">
        <w:rPr>
          <w:rFonts w:eastAsia="Times New Roman" w:cs="Arial"/>
          <w:szCs w:val="22"/>
        </w:rPr>
        <w:t xml:space="preserve"> taken account of in the</w:t>
      </w:r>
      <w:r w:rsidR="008A24BE">
        <w:rPr>
          <w:rFonts w:eastAsia="Times New Roman" w:cs="Arial"/>
          <w:szCs w:val="22"/>
        </w:rPr>
        <w:t xml:space="preserve"> other TEIs</w:t>
      </w:r>
      <w:r w:rsidRPr="00F25083">
        <w:rPr>
          <w:rFonts w:eastAsia="Times New Roman" w:cs="Arial"/>
          <w:szCs w:val="22"/>
        </w:rPr>
        <w:t xml:space="preserve"> student protection plan.</w:t>
      </w:r>
    </w:p>
    <w:p w14:paraId="2C0A2B89" w14:textId="618DD0FD" w:rsidR="00442A4C" w:rsidRPr="00182402" w:rsidRDefault="00442A4C" w:rsidP="00182402">
      <w:pPr>
        <w:numPr>
          <w:ilvl w:val="0"/>
          <w:numId w:val="18"/>
        </w:numPr>
        <w:rPr>
          <w:rFonts w:eastAsia="Times New Roman" w:cs="Arial"/>
          <w:sz w:val="20"/>
          <w:szCs w:val="20"/>
        </w:rPr>
      </w:pPr>
      <w:r w:rsidRPr="00F25083">
        <w:rPr>
          <w:rFonts w:eastAsia="Times New Roman" w:cs="Arial"/>
          <w:szCs w:val="22"/>
        </w:rPr>
        <w:t xml:space="preserve">That a </w:t>
      </w:r>
      <w:r w:rsidRPr="008A24BE">
        <w:rPr>
          <w:rFonts w:eastAsia="Times New Roman" w:cs="Arial"/>
          <w:szCs w:val="22"/>
        </w:rPr>
        <w:t xml:space="preserve">transfer mid-year would mean accommodation on campus could not be guaranteed but the </w:t>
      </w:r>
      <w:r w:rsidR="008F2A65" w:rsidRPr="008A24BE">
        <w:rPr>
          <w:rFonts w:eastAsia="Times New Roman" w:cs="Arial"/>
          <w:szCs w:val="22"/>
        </w:rPr>
        <w:t>Foundation</w:t>
      </w:r>
      <w:r w:rsidRPr="008A24BE">
        <w:rPr>
          <w:rFonts w:eastAsia="Times New Roman" w:cs="Arial"/>
          <w:szCs w:val="22"/>
        </w:rPr>
        <w:t xml:space="preserve"> would do all feasible to assist with alternative </w:t>
      </w:r>
      <w:r w:rsidR="008A24BE">
        <w:rPr>
          <w:rFonts w:eastAsia="Times New Roman" w:cs="Arial"/>
          <w:szCs w:val="22"/>
        </w:rPr>
        <w:t xml:space="preserve">reasonable </w:t>
      </w:r>
      <w:r w:rsidRPr="008A24BE">
        <w:rPr>
          <w:rFonts w:eastAsia="Times New Roman" w:cs="Arial"/>
          <w:szCs w:val="22"/>
        </w:rPr>
        <w:t>arrangements</w:t>
      </w:r>
      <w:r w:rsidR="008A24BE" w:rsidRPr="008A24BE">
        <w:rPr>
          <w:rFonts w:eastAsia="Times New Roman" w:cs="Arial"/>
          <w:szCs w:val="22"/>
        </w:rPr>
        <w:t xml:space="preserve"> in this regard</w:t>
      </w:r>
      <w:r w:rsidRPr="008A24BE">
        <w:rPr>
          <w:rFonts w:eastAsia="Times New Roman" w:cs="Arial"/>
          <w:szCs w:val="22"/>
        </w:rPr>
        <w:t>.</w:t>
      </w:r>
    </w:p>
    <w:p w14:paraId="1D34F42C" w14:textId="77777777" w:rsidR="00442A4C" w:rsidRPr="00442A4C" w:rsidRDefault="00442A4C" w:rsidP="00442A4C">
      <w:pPr>
        <w:rPr>
          <w:rFonts w:cs="Arial"/>
          <w:szCs w:val="22"/>
        </w:rPr>
      </w:pPr>
    </w:p>
    <w:p w14:paraId="21161B51" w14:textId="2BD1FADC" w:rsidR="00975DB7" w:rsidRPr="00975DB7" w:rsidRDefault="00442A4C" w:rsidP="00975DB7">
      <w:pPr>
        <w:pStyle w:val="ListParagraph"/>
        <w:numPr>
          <w:ilvl w:val="0"/>
          <w:numId w:val="17"/>
        </w:numPr>
        <w:spacing w:after="120" w:line="240" w:lineRule="auto"/>
        <w:ind w:left="856" w:hanging="357"/>
        <w:contextualSpacing w:val="0"/>
        <w:rPr>
          <w:rFonts w:ascii="Arial" w:hAnsi="Arial" w:cs="Arial"/>
          <w:szCs w:val="22"/>
        </w:rPr>
      </w:pPr>
      <w:r w:rsidRPr="00975DB7">
        <w:rPr>
          <w:rFonts w:ascii="Arial" w:hAnsi="Arial" w:cs="Arial"/>
          <w:szCs w:val="22"/>
        </w:rPr>
        <w:t xml:space="preserve">Whilst Methodist sponsored students follow the </w:t>
      </w:r>
      <w:r w:rsidR="008F2A65" w:rsidRPr="00975DB7">
        <w:rPr>
          <w:rFonts w:ascii="Arial" w:hAnsi="Arial" w:cs="Arial"/>
          <w:szCs w:val="22"/>
        </w:rPr>
        <w:t>Common Awards</w:t>
      </w:r>
      <w:r w:rsidRPr="00975DB7">
        <w:rPr>
          <w:rFonts w:ascii="Arial" w:hAnsi="Arial" w:cs="Arial"/>
          <w:szCs w:val="22"/>
        </w:rPr>
        <w:t xml:space="preserve"> programme</w:t>
      </w:r>
      <w:r w:rsidR="00975DB7">
        <w:rPr>
          <w:rFonts w:ascii="Arial" w:hAnsi="Arial" w:cs="Arial"/>
          <w:szCs w:val="22"/>
        </w:rPr>
        <w:t>,</w:t>
      </w:r>
      <w:r w:rsidRPr="00975DB7">
        <w:rPr>
          <w:rFonts w:ascii="Arial" w:hAnsi="Arial" w:cs="Arial"/>
          <w:szCs w:val="22"/>
        </w:rPr>
        <w:t xml:space="preserve"> and </w:t>
      </w:r>
      <w:r w:rsidR="00975DB7">
        <w:rPr>
          <w:rFonts w:ascii="Arial" w:hAnsi="Arial" w:cs="Arial"/>
          <w:szCs w:val="22"/>
        </w:rPr>
        <w:t>w</w:t>
      </w:r>
      <w:r w:rsidRPr="00975DB7">
        <w:rPr>
          <w:rFonts w:ascii="Arial" w:hAnsi="Arial" w:cs="Arial"/>
          <w:szCs w:val="22"/>
        </w:rPr>
        <w:t xml:space="preserve">ould be covered by such an agreement to complete work for academic credit and associated award, as the only approved TEI for Methodist </w:t>
      </w:r>
      <w:r w:rsidR="004C2F62">
        <w:rPr>
          <w:rFonts w:ascii="Arial" w:hAnsi="Arial" w:cs="Arial"/>
          <w:szCs w:val="22"/>
        </w:rPr>
        <w:t xml:space="preserve">ministerial </w:t>
      </w:r>
      <w:r w:rsidR="008F2A65" w:rsidRPr="00975DB7">
        <w:rPr>
          <w:rFonts w:ascii="Arial" w:hAnsi="Arial" w:cs="Arial"/>
          <w:szCs w:val="22"/>
        </w:rPr>
        <w:t>students</w:t>
      </w:r>
      <w:r w:rsidR="00975DB7">
        <w:rPr>
          <w:rFonts w:ascii="Arial" w:hAnsi="Arial" w:cs="Arial"/>
          <w:szCs w:val="22"/>
        </w:rPr>
        <w:t>,</w:t>
      </w:r>
      <w:r w:rsidRPr="00975DB7">
        <w:rPr>
          <w:rFonts w:ascii="Arial" w:hAnsi="Arial" w:cs="Arial"/>
          <w:szCs w:val="22"/>
        </w:rPr>
        <w:t xml:space="preserve"> additional arrangements would need to be made including the following:</w:t>
      </w:r>
    </w:p>
    <w:p w14:paraId="6E93E146" w14:textId="4248BCC1" w:rsidR="00975DB7" w:rsidRPr="00975DB7" w:rsidRDefault="00442A4C" w:rsidP="00975DB7">
      <w:pPr>
        <w:pStyle w:val="ListParagraph"/>
        <w:numPr>
          <w:ilvl w:val="0"/>
          <w:numId w:val="19"/>
        </w:numPr>
        <w:spacing w:after="120" w:line="240" w:lineRule="auto"/>
        <w:contextualSpacing w:val="0"/>
        <w:rPr>
          <w:rFonts w:ascii="Arial" w:hAnsi="Arial" w:cs="Arial"/>
          <w:szCs w:val="22"/>
        </w:rPr>
      </w:pPr>
      <w:r w:rsidRPr="00975DB7">
        <w:rPr>
          <w:rFonts w:ascii="Arial" w:hAnsi="Arial" w:cs="Arial"/>
          <w:szCs w:val="22"/>
        </w:rPr>
        <w:t xml:space="preserve">Deployment of </w:t>
      </w:r>
      <w:r w:rsidR="008F2A65" w:rsidRPr="00975DB7">
        <w:rPr>
          <w:rFonts w:ascii="Arial" w:hAnsi="Arial" w:cs="Arial"/>
          <w:szCs w:val="22"/>
        </w:rPr>
        <w:t>Foundation</w:t>
      </w:r>
      <w:r w:rsidRPr="00975DB7">
        <w:rPr>
          <w:rFonts w:ascii="Arial" w:hAnsi="Arial" w:cs="Arial"/>
          <w:szCs w:val="22"/>
        </w:rPr>
        <w:t xml:space="preserve"> Methodist staff to TEIs receiving Methodist candidates to ensure </w:t>
      </w:r>
      <w:r w:rsidR="00975DB7">
        <w:rPr>
          <w:rFonts w:ascii="Arial" w:hAnsi="Arial" w:cs="Arial"/>
          <w:szCs w:val="22"/>
        </w:rPr>
        <w:t xml:space="preserve">the </w:t>
      </w:r>
      <w:r w:rsidRPr="00975DB7">
        <w:rPr>
          <w:rFonts w:ascii="Arial" w:hAnsi="Arial" w:cs="Arial"/>
          <w:szCs w:val="22"/>
        </w:rPr>
        <w:t>completion of professional training requirements in the new context.</w:t>
      </w:r>
    </w:p>
    <w:p w14:paraId="44A53A47" w14:textId="77777777" w:rsidR="00975DB7" w:rsidRPr="00975DB7" w:rsidRDefault="00442A4C" w:rsidP="00975DB7">
      <w:pPr>
        <w:pStyle w:val="ListParagraph"/>
        <w:numPr>
          <w:ilvl w:val="0"/>
          <w:numId w:val="19"/>
        </w:numPr>
        <w:spacing w:after="120" w:line="240" w:lineRule="auto"/>
        <w:contextualSpacing w:val="0"/>
        <w:rPr>
          <w:rFonts w:ascii="Arial" w:hAnsi="Arial" w:cs="Arial"/>
          <w:szCs w:val="22"/>
        </w:rPr>
      </w:pPr>
      <w:r w:rsidRPr="00975DB7">
        <w:rPr>
          <w:rFonts w:ascii="Arial" w:hAnsi="Arial" w:cs="Arial"/>
          <w:szCs w:val="22"/>
        </w:rPr>
        <w:t xml:space="preserve">Making available </w:t>
      </w:r>
      <w:r w:rsidR="008F2A65" w:rsidRPr="00975DB7">
        <w:rPr>
          <w:rFonts w:ascii="Arial" w:hAnsi="Arial" w:cs="Arial"/>
          <w:szCs w:val="22"/>
        </w:rPr>
        <w:t>Foundation</w:t>
      </w:r>
      <w:r w:rsidRPr="00975DB7">
        <w:rPr>
          <w:rFonts w:ascii="Arial" w:hAnsi="Arial" w:cs="Arial"/>
          <w:szCs w:val="22"/>
        </w:rPr>
        <w:t xml:space="preserve"> library and Moodle learning resources to transferring institutions</w:t>
      </w:r>
      <w:r w:rsidR="00975DB7" w:rsidRPr="00975DB7">
        <w:rPr>
          <w:rFonts w:ascii="Arial" w:hAnsi="Arial" w:cs="Arial"/>
          <w:szCs w:val="22"/>
        </w:rPr>
        <w:t>.</w:t>
      </w:r>
    </w:p>
    <w:p w14:paraId="17A84170" w14:textId="456D48B1" w:rsidR="00975DB7" w:rsidRPr="00046D46" w:rsidRDefault="00442A4C" w:rsidP="00975DB7">
      <w:pPr>
        <w:pStyle w:val="ListParagraph"/>
        <w:numPr>
          <w:ilvl w:val="0"/>
          <w:numId w:val="19"/>
        </w:numPr>
        <w:spacing w:after="120" w:line="240" w:lineRule="auto"/>
        <w:contextualSpacing w:val="0"/>
        <w:rPr>
          <w:rFonts w:ascii="Arial" w:hAnsi="Arial" w:cs="Arial"/>
          <w:szCs w:val="22"/>
        </w:rPr>
      </w:pPr>
      <w:r w:rsidRPr="00975DB7">
        <w:rPr>
          <w:rFonts w:ascii="Arial" w:hAnsi="Arial" w:cs="Arial"/>
          <w:szCs w:val="22"/>
        </w:rPr>
        <w:t xml:space="preserve">Provision of specific Methodist related modules for onsite delivery for students who chose not to transfer and </w:t>
      </w:r>
      <w:r w:rsidR="008A24BE">
        <w:rPr>
          <w:rFonts w:ascii="Arial" w:hAnsi="Arial" w:cs="Arial"/>
          <w:szCs w:val="22"/>
        </w:rPr>
        <w:t xml:space="preserve">who </w:t>
      </w:r>
      <w:r w:rsidRPr="00975DB7">
        <w:rPr>
          <w:rFonts w:ascii="Arial" w:hAnsi="Arial" w:cs="Arial"/>
          <w:szCs w:val="22"/>
        </w:rPr>
        <w:t>need to be taught out</w:t>
      </w:r>
      <w:r w:rsidR="00975DB7">
        <w:rPr>
          <w:rFonts w:ascii="Arial" w:hAnsi="Arial" w:cs="Arial"/>
          <w:szCs w:val="22"/>
        </w:rPr>
        <w:t xml:space="preserve"> on the Edgbaston campus.</w:t>
      </w:r>
    </w:p>
    <w:p w14:paraId="4B8E6340" w14:textId="32B1B3B3" w:rsidR="00635752" w:rsidRPr="00046D46" w:rsidRDefault="00046D46" w:rsidP="00442A4C">
      <w:pPr>
        <w:jc w:val="both"/>
        <w:rPr>
          <w:rFonts w:cs="Arial"/>
          <w:b/>
          <w:bCs/>
          <w:sz w:val="28"/>
          <w:szCs w:val="28"/>
        </w:rPr>
      </w:pPr>
      <w:r w:rsidRPr="00046D46">
        <w:rPr>
          <w:rFonts w:cs="Arial"/>
          <w:b/>
          <w:bCs/>
          <w:sz w:val="28"/>
          <w:szCs w:val="28"/>
        </w:rPr>
        <w:t xml:space="preserve">Implications for Refund and Compensation </w:t>
      </w:r>
    </w:p>
    <w:p w14:paraId="7C2E7452" w14:textId="77777777" w:rsidR="00046D46" w:rsidRDefault="00046D46" w:rsidP="00E941EF">
      <w:pPr>
        <w:jc w:val="both"/>
        <w:rPr>
          <w:rFonts w:cs="Arial"/>
          <w:szCs w:val="22"/>
        </w:rPr>
      </w:pPr>
    </w:p>
    <w:p w14:paraId="4D40C2DD" w14:textId="2C965376" w:rsidR="006D3802" w:rsidRPr="00046D46" w:rsidRDefault="00C65FE2" w:rsidP="00E941EF">
      <w:pPr>
        <w:jc w:val="both"/>
        <w:rPr>
          <w:rFonts w:cs="Arial"/>
          <w:szCs w:val="22"/>
        </w:rPr>
      </w:pPr>
      <w:r>
        <w:rPr>
          <w:rFonts w:cs="Arial"/>
          <w:szCs w:val="22"/>
        </w:rPr>
        <w:t>The student protection plan should be read alongside th</w:t>
      </w:r>
      <w:r w:rsidR="00046D46">
        <w:rPr>
          <w:rFonts w:cs="Arial"/>
          <w:szCs w:val="22"/>
        </w:rPr>
        <w:t>e</w:t>
      </w:r>
      <w:r w:rsidR="00635752" w:rsidRPr="00635752">
        <w:rPr>
          <w:rFonts w:cs="Arial"/>
          <w:szCs w:val="22"/>
        </w:rPr>
        <w:t xml:space="preserve"> </w:t>
      </w:r>
      <w:r w:rsidR="008A24BE">
        <w:rPr>
          <w:rFonts w:cs="Arial"/>
          <w:szCs w:val="22"/>
        </w:rPr>
        <w:t>S</w:t>
      </w:r>
      <w:r w:rsidR="00635752" w:rsidRPr="00635752">
        <w:rPr>
          <w:rFonts w:cs="Arial"/>
          <w:szCs w:val="22"/>
        </w:rPr>
        <w:t xml:space="preserve">tudent </w:t>
      </w:r>
      <w:r w:rsidR="00836228">
        <w:rPr>
          <w:rFonts w:cs="Arial"/>
          <w:szCs w:val="22"/>
        </w:rPr>
        <w:t>C</w:t>
      </w:r>
      <w:r w:rsidR="00635752" w:rsidRPr="00635752">
        <w:rPr>
          <w:rFonts w:cs="Arial"/>
          <w:szCs w:val="22"/>
        </w:rPr>
        <w:t>ompensatio</w:t>
      </w:r>
      <w:r w:rsidR="00046D46">
        <w:rPr>
          <w:rFonts w:cs="Arial"/>
          <w:szCs w:val="22"/>
        </w:rPr>
        <w:t xml:space="preserve">n and </w:t>
      </w:r>
      <w:r w:rsidR="00836228">
        <w:rPr>
          <w:rFonts w:cs="Arial"/>
          <w:szCs w:val="22"/>
        </w:rPr>
        <w:t>R</w:t>
      </w:r>
      <w:r w:rsidR="00046D46">
        <w:rPr>
          <w:rFonts w:cs="Arial"/>
          <w:szCs w:val="22"/>
        </w:rPr>
        <w:t xml:space="preserve">efund </w:t>
      </w:r>
      <w:r w:rsidR="00836228">
        <w:rPr>
          <w:rFonts w:cs="Arial"/>
          <w:szCs w:val="22"/>
        </w:rPr>
        <w:t>P</w:t>
      </w:r>
      <w:r w:rsidR="00046D46">
        <w:rPr>
          <w:rFonts w:cs="Arial"/>
          <w:szCs w:val="22"/>
        </w:rPr>
        <w:t>olicy for 2018-19, which</w:t>
      </w:r>
      <w:r w:rsidR="00975DB7" w:rsidRPr="00975DB7">
        <w:t xml:space="preserve"> </w:t>
      </w:r>
      <w:r w:rsidR="006D3802" w:rsidRPr="006D3802">
        <w:rPr>
          <w:rFonts w:cs="Arial"/>
        </w:rPr>
        <w:t>addresses the following scenarios:</w:t>
      </w:r>
    </w:p>
    <w:p w14:paraId="4B1E80A6" w14:textId="160A5EF9" w:rsidR="006D3802" w:rsidRPr="006D3802" w:rsidRDefault="00182402" w:rsidP="006D3802">
      <w:pPr>
        <w:pStyle w:val="ListParagraph"/>
        <w:numPr>
          <w:ilvl w:val="0"/>
          <w:numId w:val="20"/>
        </w:numPr>
        <w:spacing w:after="120" w:line="240" w:lineRule="auto"/>
        <w:ind w:left="714" w:hanging="357"/>
        <w:contextualSpacing w:val="0"/>
        <w:jc w:val="both"/>
        <w:rPr>
          <w:rFonts w:ascii="Arial" w:hAnsi="Arial" w:cs="Arial"/>
          <w:szCs w:val="22"/>
        </w:rPr>
      </w:pPr>
      <w:r>
        <w:rPr>
          <w:rFonts w:ascii="Arial" w:hAnsi="Arial" w:cs="Arial"/>
        </w:rPr>
        <w:t>R</w:t>
      </w:r>
      <w:r w:rsidR="00975DB7" w:rsidRPr="006D3802">
        <w:rPr>
          <w:rFonts w:ascii="Arial" w:hAnsi="Arial" w:cs="Arial"/>
        </w:rPr>
        <w:t>efunds for students in receipt of tuitions fee loan from the Student Loans Company</w:t>
      </w:r>
      <w:r w:rsidR="006D3802">
        <w:rPr>
          <w:rFonts w:ascii="Arial" w:hAnsi="Arial" w:cs="Arial"/>
        </w:rPr>
        <w:t xml:space="preserve"> (</w:t>
      </w:r>
      <w:r w:rsidR="006D3802" w:rsidRPr="006D3802">
        <w:rPr>
          <w:rFonts w:ascii="Arial" w:hAnsi="Arial" w:cs="Arial"/>
          <w:i/>
        </w:rPr>
        <w:t>section 3</w:t>
      </w:r>
      <w:r>
        <w:rPr>
          <w:rFonts w:ascii="Arial" w:hAnsi="Arial" w:cs="Arial"/>
          <w:i/>
        </w:rPr>
        <w:t>c</w:t>
      </w:r>
      <w:r w:rsidR="006D3802">
        <w:rPr>
          <w:rFonts w:ascii="Arial" w:hAnsi="Arial" w:cs="Arial"/>
        </w:rPr>
        <w:t>)</w:t>
      </w:r>
    </w:p>
    <w:p w14:paraId="0C89A468" w14:textId="027F6EAB" w:rsidR="006D3802" w:rsidRPr="006D3802" w:rsidRDefault="00182402" w:rsidP="006D3802">
      <w:pPr>
        <w:pStyle w:val="ListParagraph"/>
        <w:numPr>
          <w:ilvl w:val="0"/>
          <w:numId w:val="20"/>
        </w:numPr>
        <w:spacing w:after="120" w:line="240" w:lineRule="auto"/>
        <w:ind w:left="714" w:hanging="357"/>
        <w:contextualSpacing w:val="0"/>
        <w:jc w:val="both"/>
        <w:rPr>
          <w:rFonts w:ascii="Arial" w:hAnsi="Arial" w:cs="Arial"/>
          <w:szCs w:val="22"/>
        </w:rPr>
      </w:pPr>
      <w:r>
        <w:rPr>
          <w:rFonts w:ascii="Arial" w:hAnsi="Arial" w:cs="Arial"/>
        </w:rPr>
        <w:t>R</w:t>
      </w:r>
      <w:r w:rsidR="00975DB7" w:rsidRPr="006D3802">
        <w:rPr>
          <w:rFonts w:ascii="Arial" w:hAnsi="Arial" w:cs="Arial"/>
        </w:rPr>
        <w:t>efunds for students who pay their own tuition fees</w:t>
      </w:r>
      <w:r w:rsidR="006D3802">
        <w:rPr>
          <w:rFonts w:ascii="Arial" w:hAnsi="Arial" w:cs="Arial"/>
        </w:rPr>
        <w:t xml:space="preserve"> </w:t>
      </w:r>
      <w:r w:rsidR="006D3802">
        <w:rPr>
          <w:rFonts w:ascii="Arial" w:hAnsi="Arial" w:cs="Arial"/>
          <w:i/>
        </w:rPr>
        <w:t>(s</w:t>
      </w:r>
      <w:r w:rsidR="006D3802" w:rsidRPr="006D3802">
        <w:rPr>
          <w:rFonts w:ascii="Arial" w:hAnsi="Arial" w:cs="Arial"/>
          <w:i/>
        </w:rPr>
        <w:t xml:space="preserve">ection </w:t>
      </w:r>
      <w:r>
        <w:rPr>
          <w:rFonts w:ascii="Arial" w:hAnsi="Arial" w:cs="Arial"/>
          <w:i/>
        </w:rPr>
        <w:t>3b</w:t>
      </w:r>
      <w:r w:rsidR="006D3802">
        <w:rPr>
          <w:rFonts w:ascii="Arial" w:hAnsi="Arial" w:cs="Arial"/>
        </w:rPr>
        <w:t>)</w:t>
      </w:r>
    </w:p>
    <w:p w14:paraId="526E686A" w14:textId="46BBEC34" w:rsidR="006D3802" w:rsidRPr="006D3802" w:rsidRDefault="00182402" w:rsidP="006D3802">
      <w:pPr>
        <w:pStyle w:val="RFbullet"/>
        <w:numPr>
          <w:ilvl w:val="0"/>
          <w:numId w:val="20"/>
        </w:numPr>
        <w:ind w:left="714" w:hanging="357"/>
      </w:pPr>
      <w:r>
        <w:t>R</w:t>
      </w:r>
      <w:r w:rsidR="00975DB7" w:rsidRPr="006D3802">
        <w:t>efunds for students whose tuition fees are paid by a sponsor</w:t>
      </w:r>
      <w:r w:rsidR="006D3802">
        <w:t xml:space="preserve"> </w:t>
      </w:r>
      <w:r w:rsidR="006D3802">
        <w:rPr>
          <w:i/>
        </w:rPr>
        <w:t>(s</w:t>
      </w:r>
      <w:r w:rsidR="006D3802" w:rsidRPr="006D3802">
        <w:rPr>
          <w:i/>
        </w:rPr>
        <w:t>ection 3</w:t>
      </w:r>
      <w:r w:rsidR="006D3802">
        <w:rPr>
          <w:i/>
        </w:rPr>
        <w:t>a</w:t>
      </w:r>
      <w:r w:rsidR="006D3802">
        <w:t>)</w:t>
      </w:r>
      <w:r w:rsidR="00975DB7" w:rsidRPr="006D3802">
        <w:t>.</w:t>
      </w:r>
    </w:p>
    <w:p w14:paraId="4388C6D7" w14:textId="7435D490" w:rsidR="006D3802" w:rsidRPr="006D3802" w:rsidRDefault="00182402" w:rsidP="006D3802">
      <w:pPr>
        <w:pStyle w:val="RFbullet"/>
        <w:numPr>
          <w:ilvl w:val="0"/>
          <w:numId w:val="20"/>
        </w:numPr>
        <w:ind w:left="714" w:hanging="357"/>
      </w:pPr>
      <w:r>
        <w:t>T</w:t>
      </w:r>
      <w:r w:rsidR="00975DB7" w:rsidRPr="006D3802">
        <w:t>he payment of additional travel costs for students affected by a change in the location of their course</w:t>
      </w:r>
      <w:r w:rsidR="006D3802">
        <w:t xml:space="preserve"> </w:t>
      </w:r>
      <w:r w:rsidR="006D3802">
        <w:rPr>
          <w:i/>
        </w:rPr>
        <w:t>(s</w:t>
      </w:r>
      <w:r w:rsidR="006D3802" w:rsidRPr="006D3802">
        <w:rPr>
          <w:i/>
        </w:rPr>
        <w:t xml:space="preserve">ection </w:t>
      </w:r>
      <w:r w:rsidR="006D3802">
        <w:rPr>
          <w:i/>
        </w:rPr>
        <w:t>4</w:t>
      </w:r>
      <w:r w:rsidR="006D3802">
        <w:t>).</w:t>
      </w:r>
    </w:p>
    <w:p w14:paraId="1A0B79F8" w14:textId="3EF74291" w:rsidR="006D3802" w:rsidRPr="006D3802" w:rsidRDefault="00182402" w:rsidP="006D3802">
      <w:pPr>
        <w:pStyle w:val="RFbullet"/>
        <w:numPr>
          <w:ilvl w:val="0"/>
          <w:numId w:val="20"/>
        </w:numPr>
        <w:ind w:left="714" w:hanging="357"/>
      </w:pPr>
      <w:r>
        <w:t>C</w:t>
      </w:r>
      <w:r w:rsidR="00975DB7" w:rsidRPr="006D3802">
        <w:t>ommitments to honour student bursaries</w:t>
      </w:r>
      <w:r w:rsidR="006D3802">
        <w:t xml:space="preserve"> </w:t>
      </w:r>
      <w:r w:rsidR="006D3802">
        <w:rPr>
          <w:i/>
        </w:rPr>
        <w:t>(s</w:t>
      </w:r>
      <w:r w:rsidR="006D3802" w:rsidRPr="006D3802">
        <w:rPr>
          <w:i/>
        </w:rPr>
        <w:t>ection</w:t>
      </w:r>
      <w:r w:rsidR="006D3802">
        <w:rPr>
          <w:i/>
        </w:rPr>
        <w:t xml:space="preserve"> 7</w:t>
      </w:r>
      <w:r w:rsidR="006D3802">
        <w:t>)</w:t>
      </w:r>
      <w:r w:rsidR="00975DB7" w:rsidRPr="006D3802">
        <w:t>.</w:t>
      </w:r>
    </w:p>
    <w:p w14:paraId="0BDCA54F" w14:textId="0455DA78" w:rsidR="00975DB7" w:rsidRPr="006D3802" w:rsidRDefault="00182402" w:rsidP="006D3802">
      <w:pPr>
        <w:pStyle w:val="RFbullet"/>
        <w:numPr>
          <w:ilvl w:val="0"/>
          <w:numId w:val="20"/>
        </w:numPr>
        <w:ind w:left="714" w:hanging="357"/>
      </w:pPr>
      <w:r>
        <w:t>C</w:t>
      </w:r>
      <w:r w:rsidR="00975DB7" w:rsidRPr="006D3802">
        <w:t xml:space="preserve">ompensation for maintenance costs and lost </w:t>
      </w:r>
      <w:bookmarkStart w:id="0" w:name="_GoBack"/>
      <w:bookmarkEnd w:id="0"/>
      <w:r w:rsidR="00975DB7" w:rsidRPr="006D3802">
        <w:t>time where it is not possible to preserve continuation of study</w:t>
      </w:r>
      <w:r w:rsidR="006D3802">
        <w:t xml:space="preserve"> </w:t>
      </w:r>
      <w:r w:rsidR="006D3802" w:rsidRPr="006D3802">
        <w:rPr>
          <w:i/>
        </w:rPr>
        <w:t>(section 3</w:t>
      </w:r>
      <w:r>
        <w:rPr>
          <w:i/>
        </w:rPr>
        <w:t>a-3c</w:t>
      </w:r>
      <w:r w:rsidR="006D3802" w:rsidRPr="006D3802">
        <w:rPr>
          <w:i/>
        </w:rPr>
        <w:t>)</w:t>
      </w:r>
      <w:r w:rsidR="00975DB7" w:rsidRPr="006D3802">
        <w:t>.</w:t>
      </w:r>
    </w:p>
    <w:p w14:paraId="5BC688C2" w14:textId="367E3F58" w:rsidR="00975DB7" w:rsidRPr="00182402" w:rsidRDefault="00182402" w:rsidP="00442A4C">
      <w:pPr>
        <w:pStyle w:val="RFbullet"/>
        <w:numPr>
          <w:ilvl w:val="0"/>
          <w:numId w:val="20"/>
        </w:numPr>
        <w:ind w:left="714" w:hanging="357"/>
      </w:pPr>
      <w:r>
        <w:lastRenderedPageBreak/>
        <w:t>C</w:t>
      </w:r>
      <w:r w:rsidR="00975DB7" w:rsidRPr="006D3802">
        <w:t>ompensation for tuition and maintenance costs where students have to transfer courses or provider</w:t>
      </w:r>
      <w:r w:rsidR="006D3802">
        <w:t xml:space="preserve"> (</w:t>
      </w:r>
      <w:r w:rsidR="006D3802" w:rsidRPr="006D3802">
        <w:rPr>
          <w:i/>
        </w:rPr>
        <w:t>3</w:t>
      </w:r>
      <w:r>
        <w:rPr>
          <w:i/>
        </w:rPr>
        <w:t>a-3c</w:t>
      </w:r>
      <w:r w:rsidR="006D3802">
        <w:rPr>
          <w:i/>
        </w:rPr>
        <w:t>)</w:t>
      </w:r>
      <w:r w:rsidR="00975DB7" w:rsidRPr="006D3802">
        <w:t>.</w:t>
      </w:r>
    </w:p>
    <w:p w14:paraId="562BED8E" w14:textId="77777777" w:rsidR="006D3802" w:rsidRPr="00442A4C" w:rsidRDefault="006D3802" w:rsidP="006D3802">
      <w:pPr>
        <w:rPr>
          <w:rFonts w:cs="Arial"/>
          <w:i/>
          <w:color w:val="002060"/>
          <w:szCs w:val="22"/>
        </w:rPr>
      </w:pPr>
    </w:p>
    <w:p w14:paraId="6FB209EB" w14:textId="6799DFF7" w:rsidR="00635752" w:rsidRPr="00046D46" w:rsidRDefault="00182402" w:rsidP="00046D46">
      <w:pPr>
        <w:rPr>
          <w:rFonts w:cs="Arial"/>
          <w:szCs w:val="22"/>
          <w:highlight w:val="yellow"/>
        </w:rPr>
      </w:pPr>
      <w:r w:rsidRPr="00182402">
        <w:rPr>
          <w:rFonts w:cs="Arial"/>
          <w:szCs w:val="22"/>
        </w:rPr>
        <w:t>Overall</w:t>
      </w:r>
      <w:r w:rsidR="00836228">
        <w:rPr>
          <w:rFonts w:cs="Arial"/>
          <w:szCs w:val="22"/>
        </w:rPr>
        <w:t>,</w:t>
      </w:r>
      <w:r w:rsidRPr="00182402">
        <w:rPr>
          <w:rFonts w:cs="Arial"/>
          <w:szCs w:val="22"/>
        </w:rPr>
        <w:t xml:space="preserve"> w</w:t>
      </w:r>
      <w:r w:rsidR="006D3802" w:rsidRPr="00182402">
        <w:rPr>
          <w:rFonts w:cs="Arial"/>
          <w:szCs w:val="22"/>
        </w:rPr>
        <w:t xml:space="preserve">e have cash reserves of </w:t>
      </w:r>
      <w:r w:rsidRPr="00182402">
        <w:rPr>
          <w:rFonts w:cs="Arial"/>
          <w:szCs w:val="22"/>
        </w:rPr>
        <w:t>approximately £2,000,000</w:t>
      </w:r>
      <w:r w:rsidR="00836228">
        <w:rPr>
          <w:rFonts w:cs="Arial"/>
          <w:szCs w:val="22"/>
        </w:rPr>
        <w:t xml:space="preserve">.  This </w:t>
      </w:r>
      <w:r w:rsidR="006D3802" w:rsidRPr="00182402">
        <w:rPr>
          <w:rFonts w:cs="Arial"/>
          <w:szCs w:val="22"/>
        </w:rPr>
        <w:t xml:space="preserve">would be sufficient to provide refunds and compensation for </w:t>
      </w:r>
      <w:r w:rsidRPr="00182402">
        <w:rPr>
          <w:rFonts w:cs="Arial"/>
          <w:szCs w:val="22"/>
        </w:rPr>
        <w:t>all/any</w:t>
      </w:r>
      <w:r w:rsidR="006D3802" w:rsidRPr="00182402">
        <w:rPr>
          <w:rFonts w:cs="Arial"/>
          <w:szCs w:val="22"/>
        </w:rPr>
        <w:t xml:space="preserve"> students for whom we have identified </w:t>
      </w:r>
      <w:r w:rsidR="00836228">
        <w:rPr>
          <w:rFonts w:cs="Arial"/>
          <w:szCs w:val="22"/>
        </w:rPr>
        <w:t xml:space="preserve">a risk to their </w:t>
      </w:r>
      <w:r w:rsidRPr="00182402">
        <w:rPr>
          <w:rFonts w:cs="Arial"/>
          <w:szCs w:val="22"/>
        </w:rPr>
        <w:t>continuation of study.</w:t>
      </w:r>
      <w:r w:rsidR="006D3802" w:rsidRPr="00182402">
        <w:rPr>
          <w:rFonts w:cs="Arial"/>
          <w:i/>
          <w:szCs w:val="22"/>
          <w:highlight w:val="yellow"/>
        </w:rPr>
        <w:br/>
      </w:r>
    </w:p>
    <w:p w14:paraId="781959C1" w14:textId="02DEE4A1" w:rsidR="00442A4C" w:rsidRPr="00046D46" w:rsidRDefault="00046D46" w:rsidP="00442A4C">
      <w:pPr>
        <w:jc w:val="both"/>
        <w:rPr>
          <w:rFonts w:cs="Arial"/>
          <w:b/>
          <w:sz w:val="28"/>
          <w:szCs w:val="28"/>
        </w:rPr>
      </w:pPr>
      <w:r w:rsidRPr="00046D46">
        <w:rPr>
          <w:rFonts w:cs="Arial"/>
          <w:b/>
          <w:sz w:val="28"/>
          <w:szCs w:val="28"/>
        </w:rPr>
        <w:t>Communications in respect of the Student Protection Plan</w:t>
      </w:r>
    </w:p>
    <w:p w14:paraId="6DEFC255" w14:textId="21FF3AE8" w:rsidR="00635752" w:rsidRDefault="00635752" w:rsidP="00442A4C">
      <w:pPr>
        <w:jc w:val="both"/>
        <w:rPr>
          <w:rFonts w:cs="Arial"/>
          <w:color w:val="002060"/>
          <w:szCs w:val="22"/>
        </w:rPr>
      </w:pPr>
    </w:p>
    <w:p w14:paraId="0ACB20DB" w14:textId="6C3D1794" w:rsidR="00182402" w:rsidRDefault="00635752" w:rsidP="00442A4C">
      <w:pPr>
        <w:jc w:val="both"/>
        <w:rPr>
          <w:rFonts w:cs="Arial"/>
          <w:szCs w:val="22"/>
        </w:rPr>
      </w:pPr>
      <w:r w:rsidRPr="00635752">
        <w:rPr>
          <w:rFonts w:cs="Arial"/>
          <w:szCs w:val="22"/>
        </w:rPr>
        <w:t xml:space="preserve">The </w:t>
      </w:r>
      <w:r w:rsidR="00836228">
        <w:rPr>
          <w:rFonts w:cs="Arial"/>
          <w:szCs w:val="22"/>
        </w:rPr>
        <w:t>S</w:t>
      </w:r>
      <w:r w:rsidRPr="00635752">
        <w:rPr>
          <w:rFonts w:cs="Arial"/>
          <w:szCs w:val="22"/>
        </w:rPr>
        <w:t xml:space="preserve">tudent </w:t>
      </w:r>
      <w:r w:rsidR="00836228">
        <w:rPr>
          <w:rFonts w:cs="Arial"/>
          <w:szCs w:val="22"/>
        </w:rPr>
        <w:t>P</w:t>
      </w:r>
      <w:r w:rsidRPr="00635752">
        <w:rPr>
          <w:rFonts w:cs="Arial"/>
          <w:szCs w:val="22"/>
        </w:rPr>
        <w:t xml:space="preserve">rotection </w:t>
      </w:r>
      <w:r w:rsidR="00836228">
        <w:rPr>
          <w:rFonts w:cs="Arial"/>
          <w:szCs w:val="22"/>
        </w:rPr>
        <w:t>P</w:t>
      </w:r>
      <w:r w:rsidRPr="00635752">
        <w:rPr>
          <w:rFonts w:cs="Arial"/>
          <w:szCs w:val="22"/>
        </w:rPr>
        <w:t xml:space="preserve">lan for 2018-19 </w:t>
      </w:r>
      <w:r w:rsidR="001E6448">
        <w:rPr>
          <w:rFonts w:cs="Arial"/>
          <w:szCs w:val="22"/>
        </w:rPr>
        <w:t>has been</w:t>
      </w:r>
      <w:r w:rsidRPr="00635752">
        <w:rPr>
          <w:rFonts w:cs="Arial"/>
          <w:szCs w:val="22"/>
        </w:rPr>
        <w:t xml:space="preserve"> taken to the Academic Quality and Standards Group and from there to </w:t>
      </w:r>
      <w:r w:rsidR="00836228">
        <w:rPr>
          <w:rFonts w:cs="Arial"/>
          <w:szCs w:val="22"/>
        </w:rPr>
        <w:t xml:space="preserve">the </w:t>
      </w:r>
      <w:r w:rsidRPr="00635752">
        <w:rPr>
          <w:rFonts w:cs="Arial"/>
          <w:szCs w:val="22"/>
        </w:rPr>
        <w:t xml:space="preserve">Academic Management Group in May 2018.  Both of these bodies contain student representation.  </w:t>
      </w:r>
    </w:p>
    <w:p w14:paraId="0B12EBB9" w14:textId="77777777" w:rsidR="00182402" w:rsidRDefault="00182402" w:rsidP="00442A4C">
      <w:pPr>
        <w:jc w:val="both"/>
        <w:rPr>
          <w:rFonts w:cs="Arial"/>
          <w:szCs w:val="22"/>
        </w:rPr>
      </w:pPr>
    </w:p>
    <w:p w14:paraId="62516CAF" w14:textId="77777777" w:rsidR="00836228" w:rsidRDefault="00635752" w:rsidP="005D3753">
      <w:pPr>
        <w:jc w:val="both"/>
        <w:rPr>
          <w:rFonts w:cs="Arial"/>
          <w:szCs w:val="22"/>
        </w:rPr>
      </w:pPr>
      <w:r w:rsidRPr="00635752">
        <w:rPr>
          <w:rFonts w:cs="Arial"/>
          <w:szCs w:val="22"/>
        </w:rPr>
        <w:t>In parallel</w:t>
      </w:r>
      <w:r w:rsidR="001E6448">
        <w:rPr>
          <w:rFonts w:cs="Arial"/>
          <w:szCs w:val="22"/>
        </w:rPr>
        <w:t>,</w:t>
      </w:r>
      <w:r w:rsidRPr="00635752">
        <w:rPr>
          <w:rFonts w:cs="Arial"/>
          <w:szCs w:val="22"/>
        </w:rPr>
        <w:t xml:space="preserve"> it </w:t>
      </w:r>
      <w:r w:rsidR="001E6448">
        <w:rPr>
          <w:rFonts w:cs="Arial"/>
          <w:szCs w:val="22"/>
        </w:rPr>
        <w:t xml:space="preserve">has been </w:t>
      </w:r>
      <w:r w:rsidRPr="00635752">
        <w:rPr>
          <w:rFonts w:cs="Arial"/>
          <w:szCs w:val="22"/>
        </w:rPr>
        <w:t xml:space="preserve">scrutinised by the Staff Student Community Forum </w:t>
      </w:r>
      <w:r w:rsidR="00836228">
        <w:rPr>
          <w:rFonts w:cs="Arial"/>
          <w:szCs w:val="22"/>
        </w:rPr>
        <w:t xml:space="preserve">(SSCF) </w:t>
      </w:r>
      <w:r w:rsidRPr="00635752">
        <w:rPr>
          <w:rFonts w:cs="Arial"/>
          <w:szCs w:val="22"/>
        </w:rPr>
        <w:t xml:space="preserve">with </w:t>
      </w:r>
      <w:proofErr w:type="gramStart"/>
      <w:r w:rsidRPr="00635752">
        <w:rPr>
          <w:rFonts w:cs="Arial"/>
          <w:szCs w:val="22"/>
        </w:rPr>
        <w:t>particular reference</w:t>
      </w:r>
      <w:proofErr w:type="gramEnd"/>
      <w:r w:rsidRPr="00635752">
        <w:rPr>
          <w:rFonts w:cs="Arial"/>
          <w:szCs w:val="22"/>
        </w:rPr>
        <w:t xml:space="preserve"> to its impact </w:t>
      </w:r>
      <w:r w:rsidR="001E6448">
        <w:rPr>
          <w:rFonts w:cs="Arial"/>
          <w:szCs w:val="22"/>
        </w:rPr>
        <w:t>o</w:t>
      </w:r>
      <w:r w:rsidRPr="00635752">
        <w:rPr>
          <w:rFonts w:cs="Arial"/>
          <w:szCs w:val="22"/>
        </w:rPr>
        <w:t>n student partners, children and other family members</w:t>
      </w:r>
      <w:r w:rsidR="001E6448">
        <w:rPr>
          <w:rFonts w:cs="Arial"/>
          <w:szCs w:val="22"/>
        </w:rPr>
        <w:t>,</w:t>
      </w:r>
      <w:r w:rsidRPr="00635752">
        <w:rPr>
          <w:rFonts w:cs="Arial"/>
          <w:szCs w:val="22"/>
        </w:rPr>
        <w:t xml:space="preserve"> especially those living on campus.  The SSCF is made up of </w:t>
      </w:r>
      <w:proofErr w:type="gramStart"/>
      <w:r w:rsidRPr="00635752">
        <w:rPr>
          <w:rFonts w:cs="Arial"/>
          <w:szCs w:val="22"/>
        </w:rPr>
        <w:t>a majority of</w:t>
      </w:r>
      <w:proofErr w:type="gramEnd"/>
      <w:r w:rsidRPr="00635752">
        <w:rPr>
          <w:rFonts w:cs="Arial"/>
          <w:szCs w:val="22"/>
        </w:rPr>
        <w:t xml:space="preserve"> students and partner representatives and is co-chaired by a student representative.</w:t>
      </w:r>
      <w:r w:rsidR="00836228">
        <w:rPr>
          <w:rFonts w:cs="Arial"/>
          <w:szCs w:val="22"/>
        </w:rPr>
        <w:t xml:space="preserve"> </w:t>
      </w:r>
    </w:p>
    <w:p w14:paraId="28A7BD39" w14:textId="77777777" w:rsidR="00836228" w:rsidRDefault="00836228" w:rsidP="005D3753">
      <w:pPr>
        <w:jc w:val="both"/>
        <w:rPr>
          <w:rFonts w:cs="Arial"/>
          <w:szCs w:val="22"/>
        </w:rPr>
      </w:pPr>
    </w:p>
    <w:p w14:paraId="64604E81" w14:textId="7A2E6A54" w:rsidR="005D3753" w:rsidRPr="00836228" w:rsidRDefault="00182402" w:rsidP="005D3753">
      <w:pPr>
        <w:jc w:val="both"/>
        <w:rPr>
          <w:rFonts w:cs="Arial"/>
          <w:szCs w:val="22"/>
        </w:rPr>
      </w:pPr>
      <w:r>
        <w:rPr>
          <w:rFonts w:cs="Arial"/>
          <w:szCs w:val="22"/>
        </w:rPr>
        <w:t xml:space="preserve">The SSCF will be the responsible body for reviewing and developing the </w:t>
      </w:r>
      <w:r w:rsidR="00836228">
        <w:rPr>
          <w:rFonts w:cs="Arial"/>
          <w:szCs w:val="22"/>
        </w:rPr>
        <w:t>S</w:t>
      </w:r>
      <w:r>
        <w:rPr>
          <w:rFonts w:cs="Arial"/>
          <w:szCs w:val="22"/>
        </w:rPr>
        <w:t xml:space="preserve">tudent </w:t>
      </w:r>
      <w:r w:rsidR="00836228">
        <w:rPr>
          <w:rFonts w:cs="Arial"/>
          <w:szCs w:val="22"/>
        </w:rPr>
        <w:t>P</w:t>
      </w:r>
      <w:r>
        <w:rPr>
          <w:rFonts w:cs="Arial"/>
          <w:szCs w:val="22"/>
        </w:rPr>
        <w:t xml:space="preserve">rotection </w:t>
      </w:r>
      <w:r w:rsidR="00836228">
        <w:rPr>
          <w:rFonts w:cs="Arial"/>
          <w:szCs w:val="22"/>
        </w:rPr>
        <w:t>P</w:t>
      </w:r>
      <w:r>
        <w:rPr>
          <w:rFonts w:cs="Arial"/>
          <w:szCs w:val="22"/>
        </w:rPr>
        <w:t xml:space="preserve">lan, and </w:t>
      </w:r>
      <w:r w:rsidR="005D3753">
        <w:rPr>
          <w:rFonts w:cs="Arial"/>
          <w:szCs w:val="22"/>
        </w:rPr>
        <w:t>they will do so on at least an annual basis, in consultation with the Leadership Team, to</w:t>
      </w:r>
      <w:r w:rsidR="005D3753">
        <w:rPr>
          <w:rFonts w:cs="Arial"/>
          <w:szCs w:val="22"/>
          <w:lang w:val="en-US"/>
        </w:rPr>
        <w:t xml:space="preserve"> </w:t>
      </w:r>
      <w:r w:rsidR="005D3753" w:rsidRPr="005D3753">
        <w:rPr>
          <w:rFonts w:cs="Arial"/>
          <w:szCs w:val="22"/>
          <w:lang w:val="en-US"/>
        </w:rPr>
        <w:t xml:space="preserve">ensure that risks remain current and mitigations feasible in the </w:t>
      </w:r>
      <w:r w:rsidR="005D3753">
        <w:rPr>
          <w:rFonts w:cs="Arial"/>
          <w:szCs w:val="22"/>
          <w:lang w:val="en-US"/>
        </w:rPr>
        <w:t>light of changing circumstances.</w:t>
      </w:r>
    </w:p>
    <w:p w14:paraId="06048228" w14:textId="77777777" w:rsidR="001E6448" w:rsidRDefault="001E6448" w:rsidP="00442A4C">
      <w:pPr>
        <w:jc w:val="both"/>
        <w:rPr>
          <w:rFonts w:cs="Arial"/>
          <w:szCs w:val="22"/>
        </w:rPr>
      </w:pPr>
    </w:p>
    <w:p w14:paraId="57838BDB" w14:textId="55EF46B6" w:rsidR="00635752" w:rsidRPr="00182402" w:rsidRDefault="008F2A65" w:rsidP="00442A4C">
      <w:pPr>
        <w:jc w:val="both"/>
        <w:rPr>
          <w:rFonts w:cs="Arial"/>
          <w:szCs w:val="22"/>
        </w:rPr>
      </w:pPr>
      <w:r>
        <w:rPr>
          <w:rFonts w:cs="Arial"/>
          <w:szCs w:val="22"/>
        </w:rPr>
        <w:t>Once amended and approved</w:t>
      </w:r>
      <w:r w:rsidR="001E6448">
        <w:rPr>
          <w:rFonts w:cs="Arial"/>
          <w:szCs w:val="22"/>
        </w:rPr>
        <w:t>,</w:t>
      </w:r>
      <w:r>
        <w:rPr>
          <w:rFonts w:cs="Arial"/>
          <w:szCs w:val="22"/>
        </w:rPr>
        <w:t xml:space="preserve"> the plan will be published on our website in the student </w:t>
      </w:r>
      <w:r w:rsidR="004C2F62">
        <w:rPr>
          <w:rFonts w:cs="Arial"/>
          <w:szCs w:val="22"/>
        </w:rPr>
        <w:t>policy</w:t>
      </w:r>
      <w:r>
        <w:rPr>
          <w:rFonts w:cs="Arial"/>
          <w:szCs w:val="22"/>
        </w:rPr>
        <w:t xml:space="preserve"> area</w:t>
      </w:r>
      <w:r w:rsidR="001E6448">
        <w:rPr>
          <w:rFonts w:cs="Arial"/>
          <w:szCs w:val="22"/>
        </w:rPr>
        <w:t>,</w:t>
      </w:r>
      <w:r w:rsidR="001E6448">
        <w:rPr>
          <w:rStyle w:val="FootnoteReference"/>
          <w:rFonts w:cs="Arial"/>
          <w:szCs w:val="22"/>
        </w:rPr>
        <w:footnoteReference w:id="9"/>
      </w:r>
      <w:r>
        <w:rPr>
          <w:rFonts w:cs="Arial"/>
          <w:szCs w:val="22"/>
        </w:rPr>
        <w:t xml:space="preserve"> and all students will be notified of this new addition</w:t>
      </w:r>
      <w:r w:rsidR="00182402">
        <w:rPr>
          <w:rFonts w:cs="Arial"/>
          <w:szCs w:val="22"/>
        </w:rPr>
        <w:t xml:space="preserve"> via our internal email mechanisms</w:t>
      </w:r>
      <w:r>
        <w:rPr>
          <w:rFonts w:cs="Arial"/>
          <w:szCs w:val="22"/>
        </w:rPr>
        <w:t xml:space="preserve">.  New students will receive directions to a copy of it when they receive their </w:t>
      </w:r>
      <w:r w:rsidR="004C2F62">
        <w:rPr>
          <w:rFonts w:cs="Arial"/>
          <w:szCs w:val="22"/>
        </w:rPr>
        <w:t>Letter of Agreement</w:t>
      </w:r>
      <w:r w:rsidRPr="00182402">
        <w:rPr>
          <w:rFonts w:cs="Arial"/>
          <w:szCs w:val="22"/>
        </w:rPr>
        <w:t xml:space="preserve"> for commencing studies in September 2018.</w:t>
      </w:r>
    </w:p>
    <w:p w14:paraId="25BA6549" w14:textId="77777777" w:rsidR="00182402" w:rsidRPr="00182402" w:rsidRDefault="00182402" w:rsidP="00442A4C">
      <w:pPr>
        <w:jc w:val="both"/>
        <w:rPr>
          <w:rFonts w:cs="Arial"/>
          <w:szCs w:val="22"/>
        </w:rPr>
      </w:pPr>
    </w:p>
    <w:p w14:paraId="7ACC7849" w14:textId="2EFA1C79" w:rsidR="00182402" w:rsidRDefault="00182402" w:rsidP="00046D46">
      <w:pPr>
        <w:jc w:val="both"/>
        <w:rPr>
          <w:rFonts w:cs="Arial"/>
          <w:szCs w:val="22"/>
        </w:rPr>
      </w:pPr>
      <w:r w:rsidRPr="00182402">
        <w:rPr>
          <w:rFonts w:cs="Arial"/>
          <w:szCs w:val="22"/>
        </w:rPr>
        <w:t xml:space="preserve">We will ensure that staff are aware of the implications of our </w:t>
      </w:r>
      <w:r w:rsidR="00836228">
        <w:rPr>
          <w:rFonts w:cs="Arial"/>
          <w:szCs w:val="22"/>
        </w:rPr>
        <w:t>S</w:t>
      </w:r>
      <w:r w:rsidRPr="00182402">
        <w:rPr>
          <w:rFonts w:cs="Arial"/>
          <w:szCs w:val="22"/>
        </w:rPr>
        <w:t xml:space="preserve">tudent </w:t>
      </w:r>
      <w:r w:rsidR="00836228">
        <w:rPr>
          <w:rFonts w:cs="Arial"/>
          <w:szCs w:val="22"/>
        </w:rPr>
        <w:t>P</w:t>
      </w:r>
      <w:r w:rsidRPr="00182402">
        <w:rPr>
          <w:rFonts w:cs="Arial"/>
          <w:szCs w:val="22"/>
        </w:rPr>
        <w:t xml:space="preserve">rotection </w:t>
      </w:r>
      <w:r w:rsidR="00836228">
        <w:rPr>
          <w:rFonts w:cs="Arial"/>
          <w:szCs w:val="22"/>
        </w:rPr>
        <w:t>P</w:t>
      </w:r>
      <w:r w:rsidRPr="00182402">
        <w:rPr>
          <w:rFonts w:cs="Arial"/>
          <w:szCs w:val="22"/>
        </w:rPr>
        <w:t>lan when they propose course changes by</w:t>
      </w:r>
      <w:r>
        <w:rPr>
          <w:rFonts w:cs="Arial"/>
          <w:szCs w:val="22"/>
        </w:rPr>
        <w:t xml:space="preserve"> including training on the plan and its associated p</w:t>
      </w:r>
      <w:r w:rsidR="00836228">
        <w:rPr>
          <w:rFonts w:cs="Arial"/>
          <w:szCs w:val="22"/>
        </w:rPr>
        <w:t>rinciples</w:t>
      </w:r>
      <w:r>
        <w:rPr>
          <w:rFonts w:cs="Arial"/>
          <w:szCs w:val="22"/>
        </w:rPr>
        <w:t xml:space="preserve"> on an annual basis</w:t>
      </w:r>
      <w:r w:rsidR="00836228">
        <w:rPr>
          <w:rFonts w:cs="Arial"/>
          <w:szCs w:val="22"/>
        </w:rPr>
        <w:t>,</w:t>
      </w:r>
      <w:r>
        <w:rPr>
          <w:rFonts w:cs="Arial"/>
          <w:szCs w:val="22"/>
        </w:rPr>
        <w:t xml:space="preserve"> beginning in July 2018.</w:t>
      </w:r>
    </w:p>
    <w:p w14:paraId="3BF5AD49" w14:textId="77777777" w:rsidR="00046D46" w:rsidRDefault="00046D46" w:rsidP="00442A4C">
      <w:pPr>
        <w:jc w:val="both"/>
        <w:rPr>
          <w:rFonts w:cs="Arial"/>
          <w:szCs w:val="22"/>
        </w:rPr>
      </w:pPr>
    </w:p>
    <w:p w14:paraId="5B059739" w14:textId="00873E0D" w:rsidR="00046D46" w:rsidRPr="00046D46" w:rsidRDefault="00046D46" w:rsidP="00442A4C">
      <w:pPr>
        <w:jc w:val="both"/>
        <w:rPr>
          <w:rFonts w:cs="Arial"/>
          <w:b/>
          <w:sz w:val="28"/>
          <w:szCs w:val="28"/>
        </w:rPr>
      </w:pPr>
      <w:r w:rsidRPr="00046D46">
        <w:rPr>
          <w:rFonts w:cs="Arial"/>
          <w:b/>
          <w:sz w:val="28"/>
          <w:szCs w:val="28"/>
        </w:rPr>
        <w:t>Implementation of the Student Protection Plan</w:t>
      </w:r>
    </w:p>
    <w:p w14:paraId="61B746BE" w14:textId="1AC7FC07" w:rsidR="001D1304" w:rsidRDefault="00046D46" w:rsidP="001D1304">
      <w:pPr>
        <w:spacing w:after="120"/>
        <w:rPr>
          <w:lang w:val="en-US"/>
        </w:rPr>
      </w:pPr>
      <w:r w:rsidRPr="00046D46">
        <w:rPr>
          <w:lang w:val="en-US"/>
        </w:rPr>
        <w:t xml:space="preserve">Should the Student Protection </w:t>
      </w:r>
      <w:r w:rsidR="00836228">
        <w:rPr>
          <w:lang w:val="en-US"/>
        </w:rPr>
        <w:t xml:space="preserve">Plan </w:t>
      </w:r>
      <w:r w:rsidRPr="00046D46">
        <w:rPr>
          <w:lang w:val="en-US"/>
        </w:rPr>
        <w:t>need to be implemente</w:t>
      </w:r>
      <w:r>
        <w:rPr>
          <w:lang w:val="en-US"/>
        </w:rPr>
        <w:t>d (because</w:t>
      </w:r>
      <w:r w:rsidR="001D1304">
        <w:rPr>
          <w:lang w:val="en-US"/>
        </w:rPr>
        <w:t xml:space="preserve"> one of the risks has crystalliz</w:t>
      </w:r>
      <w:r>
        <w:rPr>
          <w:lang w:val="en-US"/>
        </w:rPr>
        <w:t>ed),</w:t>
      </w:r>
      <w:r w:rsidR="00EC602B">
        <w:rPr>
          <w:lang w:val="en-US"/>
        </w:rPr>
        <w:t xml:space="preserve"> </w:t>
      </w:r>
      <w:r w:rsidRPr="00046D46">
        <w:rPr>
          <w:lang w:val="en-US"/>
        </w:rPr>
        <w:t xml:space="preserve">the following actions will be taken by the </w:t>
      </w:r>
      <w:r>
        <w:rPr>
          <w:lang w:val="en-US"/>
        </w:rPr>
        <w:t>Foundation</w:t>
      </w:r>
      <w:r w:rsidRPr="00046D46">
        <w:rPr>
          <w:lang w:val="en-US"/>
        </w:rPr>
        <w:t>:</w:t>
      </w:r>
    </w:p>
    <w:p w14:paraId="72A056ED" w14:textId="051C66B2" w:rsidR="001D1304" w:rsidRPr="001D1304" w:rsidRDefault="00046D46" w:rsidP="001D1304">
      <w:pPr>
        <w:pStyle w:val="ListParagraph"/>
        <w:numPr>
          <w:ilvl w:val="0"/>
          <w:numId w:val="26"/>
        </w:numPr>
        <w:spacing w:after="120" w:line="240" w:lineRule="auto"/>
        <w:ind w:left="357"/>
        <w:contextualSpacing w:val="0"/>
        <w:jc w:val="both"/>
        <w:rPr>
          <w:rFonts w:ascii="Arial" w:eastAsiaTheme="minorHAnsi" w:hAnsi="Arial" w:cs="Arial"/>
          <w:lang w:val="en-US"/>
        </w:rPr>
      </w:pPr>
      <w:r w:rsidRPr="001D1304">
        <w:rPr>
          <w:rFonts w:ascii="Arial" w:eastAsiaTheme="minorHAnsi" w:hAnsi="Arial" w:cs="Arial"/>
          <w:lang w:val="en-US"/>
        </w:rPr>
        <w:t>An action plan will be drawn up by the Leadership Team, the detail</w:t>
      </w:r>
      <w:r w:rsidR="00836228">
        <w:rPr>
          <w:rFonts w:ascii="Arial" w:eastAsiaTheme="minorHAnsi" w:hAnsi="Arial" w:cs="Arial"/>
          <w:lang w:val="en-US"/>
        </w:rPr>
        <w:t>s</w:t>
      </w:r>
      <w:r w:rsidRPr="001D1304">
        <w:rPr>
          <w:rFonts w:ascii="Arial" w:eastAsiaTheme="minorHAnsi" w:hAnsi="Arial" w:cs="Arial"/>
          <w:lang w:val="en-US"/>
        </w:rPr>
        <w:t xml:space="preserve"> of which will be determined by the nature of the </w:t>
      </w:r>
      <w:proofErr w:type="gramStart"/>
      <w:r w:rsidRPr="001D1304">
        <w:rPr>
          <w:rFonts w:ascii="Arial" w:eastAsiaTheme="minorHAnsi" w:hAnsi="Arial" w:cs="Arial"/>
          <w:lang w:val="en-US"/>
        </w:rPr>
        <w:t>problem, and</w:t>
      </w:r>
      <w:proofErr w:type="gramEnd"/>
      <w:r w:rsidRPr="001D1304">
        <w:rPr>
          <w:rFonts w:ascii="Arial" w:eastAsiaTheme="minorHAnsi" w:hAnsi="Arial" w:cs="Arial"/>
          <w:lang w:val="en-US"/>
        </w:rPr>
        <w:t xml:space="preserve"> informed by the Foundation’s Strategic Plan. As circumstances allow, the SSCF will be fully involved in discussion ar</w:t>
      </w:r>
      <w:r w:rsidR="001D1304">
        <w:rPr>
          <w:rFonts w:ascii="Arial" w:eastAsiaTheme="minorHAnsi" w:hAnsi="Arial" w:cs="Arial"/>
          <w:lang w:val="en-US"/>
        </w:rPr>
        <w:t>ound the implementation of the action p</w:t>
      </w:r>
      <w:r w:rsidRPr="001D1304">
        <w:rPr>
          <w:rFonts w:ascii="Arial" w:eastAsiaTheme="minorHAnsi" w:hAnsi="Arial" w:cs="Arial"/>
          <w:lang w:val="en-US"/>
        </w:rPr>
        <w:t>lan and communication of any required actions</w:t>
      </w:r>
      <w:r w:rsidR="001D1304" w:rsidRPr="001D1304">
        <w:rPr>
          <w:rFonts w:ascii="Arial" w:eastAsiaTheme="minorHAnsi" w:hAnsi="Arial" w:cs="Arial"/>
          <w:lang w:val="en-US"/>
        </w:rPr>
        <w:t xml:space="preserve"> as appropriate.</w:t>
      </w:r>
    </w:p>
    <w:p w14:paraId="7DE14EB2" w14:textId="3D0053C8" w:rsidR="001D1304" w:rsidRPr="001D1304" w:rsidRDefault="00046D46" w:rsidP="001D1304">
      <w:pPr>
        <w:pStyle w:val="ListParagraph"/>
        <w:numPr>
          <w:ilvl w:val="0"/>
          <w:numId w:val="26"/>
        </w:numPr>
        <w:spacing w:after="120" w:line="240" w:lineRule="auto"/>
        <w:ind w:left="357"/>
        <w:contextualSpacing w:val="0"/>
        <w:jc w:val="both"/>
        <w:rPr>
          <w:rFonts w:ascii="Arial" w:eastAsiaTheme="minorHAnsi" w:hAnsi="Arial" w:cs="Arial"/>
          <w:kern w:val="1"/>
          <w:lang w:val="en-US"/>
        </w:rPr>
      </w:pPr>
      <w:r w:rsidRPr="001D1304">
        <w:rPr>
          <w:rFonts w:ascii="Arial" w:eastAsiaTheme="minorHAnsi" w:hAnsi="Arial" w:cs="Arial"/>
          <w:lang w:val="en-US"/>
        </w:rPr>
        <w:t xml:space="preserve">Depending on the </w:t>
      </w:r>
      <w:r w:rsidR="001D1304" w:rsidRPr="001D1304">
        <w:rPr>
          <w:rFonts w:ascii="Arial" w:eastAsiaTheme="minorHAnsi" w:hAnsi="Arial" w:cs="Arial"/>
          <w:lang w:val="en-US"/>
        </w:rPr>
        <w:t xml:space="preserve">nature of the </w:t>
      </w:r>
      <w:r w:rsidRPr="001D1304">
        <w:rPr>
          <w:rFonts w:ascii="Arial" w:eastAsiaTheme="minorHAnsi" w:hAnsi="Arial" w:cs="Arial"/>
          <w:lang w:val="en-US"/>
        </w:rPr>
        <w:t>situation, individual students will be supported and advised by their personal</w:t>
      </w:r>
      <w:r w:rsidR="001D1304" w:rsidRPr="001D1304">
        <w:rPr>
          <w:rFonts w:ascii="Arial" w:eastAsiaTheme="minorHAnsi" w:hAnsi="Arial" w:cs="Arial"/>
          <w:lang w:val="en-US"/>
        </w:rPr>
        <w:t xml:space="preserve"> tutors and centre directors</w:t>
      </w:r>
      <w:r w:rsidRPr="001D1304">
        <w:rPr>
          <w:rFonts w:ascii="Arial" w:eastAsiaTheme="minorHAnsi" w:hAnsi="Arial" w:cs="Arial"/>
          <w:lang w:val="en-US"/>
        </w:rPr>
        <w:t xml:space="preserve">. Where traumatic events have taken place, the </w:t>
      </w:r>
      <w:r w:rsidR="001D1304" w:rsidRPr="001D1304">
        <w:rPr>
          <w:rFonts w:ascii="Arial" w:eastAsiaTheme="minorHAnsi" w:hAnsi="Arial" w:cs="Arial"/>
          <w:lang w:val="en-US"/>
        </w:rPr>
        <w:t>Well Being Officer and Chaplain</w:t>
      </w:r>
      <w:r w:rsidRPr="001D1304">
        <w:rPr>
          <w:rFonts w:ascii="Arial" w:eastAsiaTheme="minorHAnsi" w:hAnsi="Arial" w:cs="Arial"/>
          <w:lang w:val="en-US"/>
        </w:rPr>
        <w:t xml:space="preserve"> will work with</w:t>
      </w:r>
      <w:r w:rsidR="001D1304" w:rsidRPr="001D1304">
        <w:rPr>
          <w:rFonts w:ascii="Arial" w:eastAsiaTheme="minorHAnsi" w:hAnsi="Arial" w:cs="Arial"/>
          <w:lang w:val="en-US"/>
        </w:rPr>
        <w:t xml:space="preserve"> students, </w:t>
      </w:r>
      <w:r w:rsidRPr="001D1304">
        <w:rPr>
          <w:rFonts w:ascii="Arial" w:eastAsiaTheme="minorHAnsi" w:hAnsi="Arial" w:cs="Arial"/>
          <w:lang w:val="en-US"/>
        </w:rPr>
        <w:t>personal tutors and other members of Faculty to provide additional support.</w:t>
      </w:r>
    </w:p>
    <w:p w14:paraId="1515D66A" w14:textId="7CAE9035" w:rsidR="00046D46" w:rsidRPr="001D1304" w:rsidRDefault="00046D46" w:rsidP="001D1304">
      <w:pPr>
        <w:pStyle w:val="ListParagraph"/>
        <w:numPr>
          <w:ilvl w:val="0"/>
          <w:numId w:val="26"/>
        </w:numPr>
        <w:spacing w:after="120" w:line="240" w:lineRule="auto"/>
        <w:ind w:left="357"/>
        <w:contextualSpacing w:val="0"/>
        <w:jc w:val="both"/>
        <w:rPr>
          <w:rFonts w:ascii="Arial" w:eastAsiaTheme="minorHAnsi" w:hAnsi="Arial" w:cs="Arial"/>
          <w:lang w:val="en-US"/>
        </w:rPr>
      </w:pPr>
      <w:r w:rsidRPr="001D1304">
        <w:rPr>
          <w:rFonts w:ascii="Arial" w:eastAsiaTheme="minorHAnsi" w:hAnsi="Arial" w:cs="Arial"/>
          <w:lang w:val="en-US"/>
        </w:rPr>
        <w:lastRenderedPageBreak/>
        <w:t xml:space="preserve">With respect to </w:t>
      </w:r>
      <w:r w:rsidR="00836228">
        <w:rPr>
          <w:rFonts w:ascii="Arial" w:eastAsiaTheme="minorHAnsi" w:hAnsi="Arial" w:cs="Arial"/>
          <w:lang w:val="en-US"/>
        </w:rPr>
        <w:t xml:space="preserve">the Foundation </w:t>
      </w:r>
      <w:r w:rsidRPr="001D1304">
        <w:rPr>
          <w:rFonts w:ascii="Arial" w:eastAsiaTheme="minorHAnsi" w:hAnsi="Arial" w:cs="Arial"/>
          <w:lang w:val="en-US"/>
        </w:rPr>
        <w:t xml:space="preserve">College closure, students will be informed as soon as possible: in line with the </w:t>
      </w:r>
      <w:r w:rsidR="00836228">
        <w:rPr>
          <w:rFonts w:ascii="Arial" w:eastAsiaTheme="minorHAnsi" w:hAnsi="Arial" w:cs="Arial"/>
          <w:lang w:val="en-US"/>
        </w:rPr>
        <w:t>Foundation’s</w:t>
      </w:r>
      <w:r w:rsidRPr="001D1304">
        <w:rPr>
          <w:rFonts w:ascii="Arial" w:eastAsiaTheme="minorHAnsi" w:hAnsi="Arial" w:cs="Arial"/>
          <w:lang w:val="en-US"/>
        </w:rPr>
        <w:t xml:space="preserve"> reserves policy, </w:t>
      </w:r>
      <w:r w:rsidR="001D1304" w:rsidRPr="001D1304">
        <w:rPr>
          <w:rFonts w:ascii="Arial" w:eastAsiaTheme="minorHAnsi" w:hAnsi="Arial" w:cs="Arial"/>
          <w:lang w:val="en-US"/>
        </w:rPr>
        <w:t>twelve</w:t>
      </w:r>
      <w:r w:rsidRPr="001D1304">
        <w:rPr>
          <w:rFonts w:ascii="Arial" w:eastAsiaTheme="minorHAnsi" w:hAnsi="Arial" w:cs="Arial"/>
          <w:lang w:val="en-US"/>
        </w:rPr>
        <w:t xml:space="preserve"> months’ notice will be given as an absolute minimum. </w:t>
      </w:r>
    </w:p>
    <w:p w14:paraId="01CF5C74" w14:textId="086F0D38" w:rsidR="00046D46" w:rsidRPr="001D1304" w:rsidRDefault="00046D46" w:rsidP="001D1304">
      <w:pPr>
        <w:pStyle w:val="ListParagraph"/>
        <w:numPr>
          <w:ilvl w:val="0"/>
          <w:numId w:val="26"/>
        </w:numPr>
        <w:spacing w:after="120" w:line="240" w:lineRule="auto"/>
        <w:ind w:left="357"/>
        <w:contextualSpacing w:val="0"/>
        <w:jc w:val="both"/>
        <w:rPr>
          <w:rFonts w:ascii="Arial" w:eastAsiaTheme="minorHAnsi" w:hAnsi="Arial" w:cs="Arial"/>
          <w:lang w:val="en-US"/>
        </w:rPr>
      </w:pPr>
      <w:r w:rsidRPr="001D1304">
        <w:rPr>
          <w:rFonts w:ascii="Arial" w:eastAsiaTheme="minorHAnsi" w:hAnsi="Arial" w:cs="Arial"/>
          <w:lang w:val="en-US"/>
        </w:rPr>
        <w:t xml:space="preserve">With respect to </w:t>
      </w:r>
      <w:r w:rsidR="001D1304" w:rsidRPr="001D1304">
        <w:rPr>
          <w:rFonts w:ascii="Arial" w:eastAsiaTheme="minorHAnsi" w:hAnsi="Arial" w:cs="Arial"/>
          <w:lang w:val="en-US"/>
        </w:rPr>
        <w:t>removal of university validation</w:t>
      </w:r>
      <w:r w:rsidRPr="001D1304">
        <w:rPr>
          <w:rFonts w:ascii="Arial" w:eastAsiaTheme="minorHAnsi" w:hAnsi="Arial" w:cs="Arial"/>
          <w:lang w:val="en-US"/>
        </w:rPr>
        <w:t xml:space="preserve">, students will be informed of the situation as early as possible in line with the </w:t>
      </w:r>
      <w:r w:rsidR="001D1304" w:rsidRPr="001D1304">
        <w:rPr>
          <w:rFonts w:ascii="Arial" w:eastAsiaTheme="minorHAnsi" w:hAnsi="Arial" w:cs="Arial"/>
          <w:lang w:val="en-US"/>
        </w:rPr>
        <w:t>Foundation’s</w:t>
      </w:r>
      <w:r w:rsidRPr="001D1304">
        <w:rPr>
          <w:rFonts w:ascii="Arial" w:eastAsiaTheme="minorHAnsi" w:hAnsi="Arial" w:cs="Arial"/>
          <w:lang w:val="en-US"/>
        </w:rPr>
        <w:t xml:space="preserve"> </w:t>
      </w:r>
      <w:r w:rsidR="001D1304" w:rsidRPr="001D1304">
        <w:rPr>
          <w:rFonts w:ascii="Arial" w:eastAsiaTheme="minorHAnsi" w:hAnsi="Arial" w:cs="Arial"/>
          <w:lang w:val="en-US"/>
        </w:rPr>
        <w:t>agreements with the University and the sponsoring Churches.</w:t>
      </w:r>
    </w:p>
    <w:p w14:paraId="0B1A8D9C" w14:textId="24EAEF25" w:rsidR="00046D46" w:rsidRPr="001D1304" w:rsidRDefault="00046D46" w:rsidP="001D1304">
      <w:pPr>
        <w:pStyle w:val="ListParagraph"/>
        <w:numPr>
          <w:ilvl w:val="0"/>
          <w:numId w:val="26"/>
        </w:numPr>
        <w:spacing w:after="120" w:line="240" w:lineRule="auto"/>
        <w:ind w:left="357"/>
        <w:contextualSpacing w:val="0"/>
        <w:jc w:val="both"/>
        <w:rPr>
          <w:rFonts w:ascii="Arial" w:eastAsiaTheme="minorHAnsi" w:hAnsi="Arial" w:cs="Arial"/>
          <w:lang w:val="en-US"/>
        </w:rPr>
      </w:pPr>
      <w:r w:rsidRPr="001D1304">
        <w:rPr>
          <w:rFonts w:ascii="Arial" w:eastAsiaTheme="minorHAnsi" w:hAnsi="Arial" w:cs="Arial"/>
          <w:lang w:val="en-US"/>
        </w:rPr>
        <w:t xml:space="preserve">Students who wish to make a complaint about the way in which the Plan has been implemented will be encouraged to follow the </w:t>
      </w:r>
      <w:r w:rsidR="00836228">
        <w:rPr>
          <w:rFonts w:ascii="Arial" w:eastAsiaTheme="minorHAnsi" w:hAnsi="Arial" w:cs="Arial"/>
          <w:lang w:val="en-US"/>
        </w:rPr>
        <w:t>Foundation</w:t>
      </w:r>
      <w:r w:rsidRPr="001D1304">
        <w:rPr>
          <w:rFonts w:ascii="Arial" w:eastAsiaTheme="minorHAnsi" w:hAnsi="Arial" w:cs="Arial"/>
          <w:lang w:val="en-US"/>
        </w:rPr>
        <w:t>’s normal Complaints</w:t>
      </w:r>
      <w:r w:rsidR="00836228">
        <w:rPr>
          <w:rFonts w:ascii="Arial" w:eastAsiaTheme="minorHAnsi" w:hAnsi="Arial" w:cs="Arial"/>
          <w:lang w:val="en-US"/>
        </w:rPr>
        <w:t xml:space="preserve"> or </w:t>
      </w:r>
      <w:r w:rsidRPr="001D1304">
        <w:rPr>
          <w:rFonts w:ascii="Arial" w:eastAsiaTheme="minorHAnsi" w:hAnsi="Arial" w:cs="Arial"/>
          <w:lang w:val="en-US"/>
        </w:rPr>
        <w:t xml:space="preserve">Grievance Procedures; depending on the precise nature of the complaint, students may also have recourse to the complaints procedures of the University and the Office of the Independent Adjudicator once all </w:t>
      </w:r>
      <w:r w:rsidR="00836228">
        <w:rPr>
          <w:rFonts w:ascii="Arial" w:eastAsiaTheme="minorHAnsi" w:hAnsi="Arial" w:cs="Arial"/>
          <w:lang w:val="en-US"/>
        </w:rPr>
        <w:t>internal</w:t>
      </w:r>
      <w:r w:rsidRPr="001D1304">
        <w:rPr>
          <w:rFonts w:ascii="Arial" w:eastAsiaTheme="minorHAnsi" w:hAnsi="Arial" w:cs="Arial"/>
          <w:lang w:val="en-US"/>
        </w:rPr>
        <w:t xml:space="preserve"> procedures have been exhausted. </w:t>
      </w:r>
    </w:p>
    <w:p w14:paraId="1327D690" w14:textId="77777777" w:rsidR="00182402" w:rsidRPr="001D1304" w:rsidRDefault="00182402" w:rsidP="001D1304">
      <w:pPr>
        <w:spacing w:after="120"/>
        <w:ind w:left="357"/>
        <w:jc w:val="both"/>
        <w:rPr>
          <w:rFonts w:cs="Arial"/>
          <w:color w:val="002060"/>
        </w:rPr>
      </w:pPr>
    </w:p>
    <w:p w14:paraId="12D0CEC7" w14:textId="0CBC29D8" w:rsidR="00A5544B" w:rsidRDefault="00A5544B" w:rsidP="001D1304">
      <w:pPr>
        <w:spacing w:after="120"/>
        <w:ind w:left="357"/>
        <w:jc w:val="both"/>
        <w:rPr>
          <w:rFonts w:cs="Arial"/>
        </w:rPr>
      </w:pPr>
    </w:p>
    <w:p w14:paraId="299DFD2A" w14:textId="2D0608DA" w:rsidR="00182402" w:rsidRPr="00A5544B" w:rsidRDefault="00A5544B" w:rsidP="00A5544B">
      <w:pPr>
        <w:tabs>
          <w:tab w:val="left" w:pos="7069"/>
        </w:tabs>
        <w:rPr>
          <w:rFonts w:cs="Arial"/>
        </w:rPr>
      </w:pPr>
      <w:r>
        <w:rPr>
          <w:rFonts w:cs="Arial"/>
        </w:rPr>
        <w:tab/>
      </w:r>
    </w:p>
    <w:sectPr w:rsidR="00182402" w:rsidRPr="00A5544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3E42" w14:textId="77777777" w:rsidR="00046D46" w:rsidRDefault="00046D46" w:rsidP="00442A4C">
      <w:r>
        <w:separator/>
      </w:r>
    </w:p>
  </w:endnote>
  <w:endnote w:type="continuationSeparator" w:id="0">
    <w:p w14:paraId="65B4FE1B" w14:textId="77777777" w:rsidR="00046D46" w:rsidRDefault="00046D46" w:rsidP="0044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EE0A" w14:textId="5F57CDEE" w:rsidR="00FC2A88" w:rsidRPr="00FC2A88" w:rsidRDefault="00FC2A88" w:rsidP="00FC2A88">
    <w:pPr>
      <w:pStyle w:val="Footer"/>
      <w:jc w:val="center"/>
      <w:rPr>
        <w:lang w:val="en-US"/>
      </w:rPr>
    </w:pPr>
    <w:r>
      <w:rPr>
        <w:lang w:val="en-US"/>
      </w:rPr>
      <w:t>Created May 2018 to be reviewed by SSCF and Governing Body by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6A6E" w14:textId="77777777" w:rsidR="00046D46" w:rsidRDefault="00046D46" w:rsidP="00442A4C">
      <w:r>
        <w:separator/>
      </w:r>
    </w:p>
  </w:footnote>
  <w:footnote w:type="continuationSeparator" w:id="0">
    <w:p w14:paraId="4E2762D1" w14:textId="77777777" w:rsidR="00046D46" w:rsidRDefault="00046D46" w:rsidP="00442A4C">
      <w:r>
        <w:continuationSeparator/>
      </w:r>
    </w:p>
  </w:footnote>
  <w:footnote w:id="1">
    <w:p w14:paraId="64CD1819" w14:textId="4C0CD2D4" w:rsidR="0064404C" w:rsidRPr="0064404C" w:rsidRDefault="0064404C" w:rsidP="00097D2F">
      <w:pPr>
        <w:pStyle w:val="FootnoteText"/>
        <w:spacing w:after="0" w:line="240" w:lineRule="auto"/>
        <w:ind w:left="0" w:firstLine="0"/>
        <w:rPr>
          <w:lang w:val="en-US"/>
        </w:rPr>
      </w:pPr>
      <w:r>
        <w:rPr>
          <w:rStyle w:val="FootnoteReference"/>
        </w:rPr>
        <w:footnoteRef/>
      </w:r>
      <w:r>
        <w:t xml:space="preserve"> </w:t>
      </w:r>
      <w:r>
        <w:rPr>
          <w:lang w:val="en-US"/>
        </w:rPr>
        <w:t>The average age of The Foundation’s students is 45; they therefore have partners, children, and other related family/personal responsibilities. Many families live on site, and therefore partners and children have changed employment and schools to allow the student to study at the Foundation.</w:t>
      </w:r>
    </w:p>
  </w:footnote>
  <w:footnote w:id="2">
    <w:p w14:paraId="1B270F01" w14:textId="77777777" w:rsidR="00046D46" w:rsidRDefault="00046D46" w:rsidP="00097D2F">
      <w:pPr>
        <w:pStyle w:val="FootnoteText"/>
        <w:spacing w:after="0" w:line="240" w:lineRule="auto"/>
        <w:ind w:left="0" w:firstLine="0"/>
      </w:pPr>
      <w:r>
        <w:rPr>
          <w:rStyle w:val="FootnoteReference"/>
        </w:rPr>
        <w:footnoteRef/>
      </w:r>
      <w:r>
        <w:t xml:space="preserve"> Most students need to complete a Certificate in Higher Education or a Diploma in Higher Education only </w:t>
      </w:r>
      <w:proofErr w:type="gramStart"/>
      <w:r>
        <w:t>in order to</w:t>
      </w:r>
      <w:proofErr w:type="gramEnd"/>
      <w:r>
        <w:t xml:space="preserve"> meet sponsorship requirements.</w:t>
      </w:r>
    </w:p>
  </w:footnote>
  <w:footnote w:id="3">
    <w:p w14:paraId="6A3C5486" w14:textId="0874F348" w:rsidR="00F01FFB" w:rsidRDefault="00F01FFB" w:rsidP="00097D2F">
      <w:pPr>
        <w:pStyle w:val="FootnoteText"/>
        <w:spacing w:after="0" w:line="240" w:lineRule="auto"/>
        <w:ind w:left="0" w:firstLine="0"/>
      </w:pPr>
      <w:r>
        <w:rPr>
          <w:rStyle w:val="FootnoteReference"/>
        </w:rPr>
        <w:footnoteRef/>
      </w:r>
      <w:r>
        <w:t xml:space="preserve"> Reader Ministry is non-ordained, lay ministry normally done on a non-stipendiary basis.</w:t>
      </w:r>
    </w:p>
  </w:footnote>
  <w:footnote w:id="4">
    <w:p w14:paraId="38CA6E1D" w14:textId="65782922" w:rsidR="00D63C38" w:rsidRPr="00D63C38" w:rsidRDefault="00D63C38">
      <w:pPr>
        <w:pStyle w:val="FootnoteText"/>
        <w:rPr>
          <w:lang w:val="en-US"/>
        </w:rPr>
      </w:pPr>
      <w:r>
        <w:rPr>
          <w:rStyle w:val="FootnoteReference"/>
        </w:rPr>
        <w:footnoteRef/>
      </w:r>
      <w:r>
        <w:t xml:space="preserve"> </w:t>
      </w:r>
      <w:r w:rsidRPr="00D63C38">
        <w:t>https://www.dur.ac.uk/common.awards/</w:t>
      </w:r>
    </w:p>
  </w:footnote>
  <w:footnote w:id="5">
    <w:p w14:paraId="7B751E9C" w14:textId="3014FAFF" w:rsidR="00046D46" w:rsidRDefault="00046D46" w:rsidP="00A251A8">
      <w:pPr>
        <w:pStyle w:val="FootnoteText"/>
        <w:spacing w:after="0" w:line="240" w:lineRule="auto"/>
      </w:pPr>
      <w:r>
        <w:rPr>
          <w:rStyle w:val="FootnoteReference"/>
        </w:rPr>
        <w:footnoteRef/>
      </w:r>
      <w:hyperlink r:id="rId1" w:history="1">
        <w:r w:rsidR="00A251A8" w:rsidRPr="00B41839">
          <w:rPr>
            <w:rStyle w:val="Hyperlink"/>
          </w:rPr>
          <w:t>http://www.qaa.ac.uk/en/ReviewsAndReports/Documents/The%20Queen's%20Foundation%20for%20Ecumenical%20Theological%20Education/The-Queen's-Foundation-for-Ecumenical-Theological-Education-EO-AM-18.pdf</w:t>
        </w:r>
      </w:hyperlink>
      <w:r>
        <w:t xml:space="preserve"> (section 8)</w:t>
      </w:r>
    </w:p>
  </w:footnote>
  <w:footnote w:id="6">
    <w:p w14:paraId="2CF77036" w14:textId="40A2F29D" w:rsidR="00046D46" w:rsidRDefault="00046D46" w:rsidP="008F2A65">
      <w:pPr>
        <w:pStyle w:val="FootnoteText"/>
        <w:spacing w:after="0" w:line="240" w:lineRule="auto"/>
      </w:pPr>
      <w:r>
        <w:rPr>
          <w:rStyle w:val="FootnoteReference"/>
        </w:rPr>
        <w:footnoteRef/>
      </w:r>
      <w:r>
        <w:t xml:space="preserve"> Newman University BA Revalidation Minutes</w:t>
      </w:r>
    </w:p>
  </w:footnote>
  <w:footnote w:id="7">
    <w:p w14:paraId="268C3C7B" w14:textId="6E2C13A5" w:rsidR="00046D46" w:rsidRPr="00D819E4" w:rsidRDefault="00046D46" w:rsidP="008A2868">
      <w:pPr>
        <w:pStyle w:val="FootnoteText"/>
        <w:spacing w:line="240" w:lineRule="auto"/>
        <w:rPr>
          <w:lang w:val="en-US"/>
        </w:rPr>
      </w:pPr>
      <w:r>
        <w:rPr>
          <w:rStyle w:val="FootnoteReference"/>
        </w:rPr>
        <w:footnoteRef/>
      </w:r>
      <w:r>
        <w:t xml:space="preserve"> </w:t>
      </w:r>
      <w:r>
        <w:rPr>
          <w:lang w:val="en-US"/>
        </w:rPr>
        <w:t xml:space="preserve">There are 18 approved Common Awards TEIs all over the country.  See: </w:t>
      </w:r>
      <w:hyperlink r:id="rId2" w:history="1">
        <w:r w:rsidRPr="00B077B3">
          <w:rPr>
            <w:rStyle w:val="Hyperlink"/>
            <w:lang w:val="en-US"/>
          </w:rPr>
          <w:t>https://www.dur.ac.uk/common.awards/regulations/</w:t>
        </w:r>
      </w:hyperlink>
      <w:r>
        <w:rPr>
          <w:lang w:val="en-US"/>
        </w:rPr>
        <w:t xml:space="preserve"> </w:t>
      </w:r>
    </w:p>
  </w:footnote>
  <w:footnote w:id="8">
    <w:p w14:paraId="3F5AF627" w14:textId="63C41F08" w:rsidR="001079DE" w:rsidRDefault="001079DE">
      <w:pPr>
        <w:pStyle w:val="FootnoteText"/>
      </w:pPr>
      <w:r>
        <w:rPr>
          <w:rStyle w:val="FootnoteReference"/>
        </w:rPr>
        <w:footnoteRef/>
      </w:r>
      <w:r>
        <w:t xml:space="preserve"> Newman University has a Theology Faculty, is in Birmingham and located ap</w:t>
      </w:r>
      <w:r w:rsidR="004C2F62">
        <w:t>p</w:t>
      </w:r>
      <w:r>
        <w:t>rox</w:t>
      </w:r>
      <w:r w:rsidR="004C2F62">
        <w:t>imately</w:t>
      </w:r>
      <w:r>
        <w:t xml:space="preserve"> 4 miles from Queen’s Edgbaston Campus.</w:t>
      </w:r>
    </w:p>
  </w:footnote>
  <w:footnote w:id="9">
    <w:p w14:paraId="09522050" w14:textId="3CBC9500" w:rsidR="00046D46" w:rsidRDefault="00046D46">
      <w:pPr>
        <w:pStyle w:val="FootnoteText"/>
      </w:pPr>
      <w:r>
        <w:rPr>
          <w:rStyle w:val="FootnoteReference"/>
        </w:rPr>
        <w:footnoteRef/>
      </w:r>
      <w:r>
        <w:t xml:space="preserve"> </w:t>
      </w:r>
      <w:hyperlink r:id="rId3" w:history="1">
        <w:r w:rsidR="00EC295B" w:rsidRPr="00A66B91">
          <w:rPr>
            <w:rStyle w:val="Hyperlink"/>
          </w:rPr>
          <w:t>http://www.queens.ac.uk/study/student-policies</w:t>
        </w:r>
      </w:hyperlink>
      <w:r w:rsidR="00EC295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8804" w14:textId="6F989D49" w:rsidR="00C24E5E" w:rsidRDefault="00C24E5E" w:rsidP="00C24E5E">
    <w:pPr>
      <w:pStyle w:val="Header"/>
      <w:tabs>
        <w:tab w:val="clear" w:pos="4680"/>
        <w:tab w:val="clear" w:pos="9360"/>
        <w:tab w:val="left" w:pos="2262"/>
      </w:tabs>
      <w:ind w:left="2262" w:hanging="2160"/>
      <w:rPr>
        <w:sz w:val="36"/>
        <w:szCs w:val="36"/>
      </w:rPr>
    </w:pPr>
    <w:r>
      <w:rPr>
        <w:noProof/>
      </w:rPr>
      <w:drawing>
        <wp:inline distT="0" distB="0" distL="0" distR="0" wp14:anchorId="432E79C4" wp14:editId="0628281D">
          <wp:extent cx="830367" cy="848718"/>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 - Current.jpg"/>
                  <pic:cNvPicPr/>
                </pic:nvPicPr>
                <pic:blipFill>
                  <a:blip r:embed="rId1"/>
                  <a:stretch>
                    <a:fillRect/>
                  </a:stretch>
                </pic:blipFill>
                <pic:spPr>
                  <a:xfrm>
                    <a:off x="0" y="0"/>
                    <a:ext cx="848592" cy="867346"/>
                  </a:xfrm>
                  <a:prstGeom prst="rect">
                    <a:avLst/>
                  </a:prstGeom>
                </pic:spPr>
              </pic:pic>
            </a:graphicData>
          </a:graphic>
        </wp:inline>
      </w:drawing>
    </w:r>
    <w:r>
      <w:rPr>
        <w:sz w:val="36"/>
        <w:szCs w:val="36"/>
      </w:rPr>
      <w:t xml:space="preserve">  </w:t>
    </w:r>
    <w:r>
      <w:rPr>
        <w:sz w:val="36"/>
        <w:szCs w:val="36"/>
      </w:rPr>
      <w:tab/>
      <w:t xml:space="preserve">     </w:t>
    </w:r>
    <w:r w:rsidRPr="00C24E5E">
      <w:rPr>
        <w:sz w:val="36"/>
        <w:szCs w:val="36"/>
      </w:rPr>
      <w:t>Student Protection Plan</w:t>
    </w:r>
    <w:r>
      <w:rPr>
        <w:sz w:val="36"/>
        <w:szCs w:val="36"/>
      </w:rPr>
      <w:t>:</w:t>
    </w:r>
    <w:r w:rsidRPr="00C24E5E">
      <w:rPr>
        <w:sz w:val="36"/>
        <w:szCs w:val="36"/>
      </w:rPr>
      <w:t xml:space="preserve"> </w:t>
    </w:r>
  </w:p>
  <w:p w14:paraId="5B435693" w14:textId="60B37D52" w:rsidR="00C24E5E" w:rsidRDefault="00C24E5E" w:rsidP="00C24E5E">
    <w:pPr>
      <w:pStyle w:val="Header"/>
      <w:tabs>
        <w:tab w:val="clear" w:pos="4680"/>
        <w:tab w:val="clear" w:pos="9360"/>
        <w:tab w:val="left" w:pos="2262"/>
      </w:tabs>
      <w:ind w:left="2262" w:hanging="2160"/>
      <w:jc w:val="center"/>
      <w:rPr>
        <w:sz w:val="36"/>
        <w:szCs w:val="36"/>
      </w:rPr>
    </w:pPr>
    <w:r w:rsidRPr="00C24E5E">
      <w:rPr>
        <w:sz w:val="36"/>
        <w:szCs w:val="36"/>
      </w:rPr>
      <w:t>The Queen’</w:t>
    </w:r>
    <w:r>
      <w:rPr>
        <w:sz w:val="36"/>
        <w:szCs w:val="36"/>
      </w:rPr>
      <w:t xml:space="preserve">s </w:t>
    </w:r>
    <w:r w:rsidRPr="00C24E5E">
      <w:rPr>
        <w:sz w:val="36"/>
        <w:szCs w:val="36"/>
      </w:rPr>
      <w:t>Foundation</w:t>
    </w:r>
    <w:r>
      <w:rPr>
        <w:sz w:val="36"/>
        <w:szCs w:val="36"/>
      </w:rPr>
      <w:t xml:space="preserve"> 2018-19</w:t>
    </w:r>
  </w:p>
  <w:p w14:paraId="60DB982A" w14:textId="77777777" w:rsidR="008702F4" w:rsidRPr="008702F4" w:rsidRDefault="008702F4" w:rsidP="00C24E5E">
    <w:pPr>
      <w:pStyle w:val="Header"/>
      <w:tabs>
        <w:tab w:val="clear" w:pos="4680"/>
        <w:tab w:val="clear" w:pos="9360"/>
        <w:tab w:val="left" w:pos="2262"/>
      </w:tabs>
      <w:ind w:left="2262" w:hanging="216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D85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C7817"/>
    <w:multiLevelType w:val="hybridMultilevel"/>
    <w:tmpl w:val="52A6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A1437"/>
    <w:multiLevelType w:val="hybridMultilevel"/>
    <w:tmpl w:val="487C336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C5D93"/>
    <w:multiLevelType w:val="hybridMultilevel"/>
    <w:tmpl w:val="214CAE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7B5B3C"/>
    <w:multiLevelType w:val="hybridMultilevel"/>
    <w:tmpl w:val="704480DA"/>
    <w:lvl w:ilvl="0" w:tplc="08090001">
      <w:start w:val="1"/>
      <w:numFmt w:val="bullet"/>
      <w:lvlText w:val=""/>
      <w:lvlJc w:val="left"/>
      <w:pPr>
        <w:ind w:left="1301" w:hanging="360"/>
      </w:pPr>
      <w:rPr>
        <w:rFonts w:ascii="Symbol" w:hAnsi="Symbol" w:hint="default"/>
      </w:rPr>
    </w:lvl>
    <w:lvl w:ilvl="1" w:tplc="08090003">
      <w:start w:val="1"/>
      <w:numFmt w:val="bullet"/>
      <w:lvlText w:val="o"/>
      <w:lvlJc w:val="left"/>
      <w:pPr>
        <w:ind w:left="2021" w:hanging="360"/>
      </w:pPr>
      <w:rPr>
        <w:rFonts w:ascii="Courier New" w:hAnsi="Courier New" w:cs="Courier New" w:hint="default"/>
      </w:rPr>
    </w:lvl>
    <w:lvl w:ilvl="2" w:tplc="08090005">
      <w:start w:val="1"/>
      <w:numFmt w:val="bullet"/>
      <w:lvlText w:val=""/>
      <w:lvlJc w:val="left"/>
      <w:pPr>
        <w:ind w:left="2741" w:hanging="360"/>
      </w:pPr>
      <w:rPr>
        <w:rFonts w:ascii="Wingdings" w:hAnsi="Wingdings" w:hint="default"/>
      </w:rPr>
    </w:lvl>
    <w:lvl w:ilvl="3" w:tplc="08090001">
      <w:start w:val="1"/>
      <w:numFmt w:val="bullet"/>
      <w:lvlText w:val=""/>
      <w:lvlJc w:val="left"/>
      <w:pPr>
        <w:ind w:left="3461" w:hanging="360"/>
      </w:pPr>
      <w:rPr>
        <w:rFonts w:ascii="Symbol" w:hAnsi="Symbol" w:hint="default"/>
      </w:rPr>
    </w:lvl>
    <w:lvl w:ilvl="4" w:tplc="08090003">
      <w:start w:val="1"/>
      <w:numFmt w:val="bullet"/>
      <w:lvlText w:val="o"/>
      <w:lvlJc w:val="left"/>
      <w:pPr>
        <w:ind w:left="4181" w:hanging="360"/>
      </w:pPr>
      <w:rPr>
        <w:rFonts w:ascii="Courier New" w:hAnsi="Courier New" w:cs="Courier New" w:hint="default"/>
      </w:rPr>
    </w:lvl>
    <w:lvl w:ilvl="5" w:tplc="08090005">
      <w:start w:val="1"/>
      <w:numFmt w:val="bullet"/>
      <w:lvlText w:val=""/>
      <w:lvlJc w:val="left"/>
      <w:pPr>
        <w:ind w:left="4901" w:hanging="360"/>
      </w:pPr>
      <w:rPr>
        <w:rFonts w:ascii="Wingdings" w:hAnsi="Wingdings" w:hint="default"/>
      </w:rPr>
    </w:lvl>
    <w:lvl w:ilvl="6" w:tplc="08090001">
      <w:start w:val="1"/>
      <w:numFmt w:val="bullet"/>
      <w:lvlText w:val=""/>
      <w:lvlJc w:val="left"/>
      <w:pPr>
        <w:ind w:left="5621" w:hanging="360"/>
      </w:pPr>
      <w:rPr>
        <w:rFonts w:ascii="Symbol" w:hAnsi="Symbol" w:hint="default"/>
      </w:rPr>
    </w:lvl>
    <w:lvl w:ilvl="7" w:tplc="08090003">
      <w:start w:val="1"/>
      <w:numFmt w:val="bullet"/>
      <w:lvlText w:val="o"/>
      <w:lvlJc w:val="left"/>
      <w:pPr>
        <w:ind w:left="6341" w:hanging="360"/>
      </w:pPr>
      <w:rPr>
        <w:rFonts w:ascii="Courier New" w:hAnsi="Courier New" w:cs="Courier New" w:hint="default"/>
      </w:rPr>
    </w:lvl>
    <w:lvl w:ilvl="8" w:tplc="08090005">
      <w:start w:val="1"/>
      <w:numFmt w:val="bullet"/>
      <w:lvlText w:val=""/>
      <w:lvlJc w:val="left"/>
      <w:pPr>
        <w:ind w:left="7061" w:hanging="360"/>
      </w:pPr>
      <w:rPr>
        <w:rFonts w:ascii="Wingdings" w:hAnsi="Wingdings" w:hint="default"/>
      </w:rPr>
    </w:lvl>
  </w:abstractNum>
  <w:abstractNum w:abstractNumId="8" w15:restartNumberingAfterBreak="0">
    <w:nsid w:val="15FB0568"/>
    <w:multiLevelType w:val="hybridMultilevel"/>
    <w:tmpl w:val="460A62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07055"/>
    <w:multiLevelType w:val="hybridMultilevel"/>
    <w:tmpl w:val="6346E2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717C4A"/>
    <w:multiLevelType w:val="hybridMultilevel"/>
    <w:tmpl w:val="F0A0F452"/>
    <w:lvl w:ilvl="0" w:tplc="716A7DF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A31C4"/>
    <w:multiLevelType w:val="hybridMultilevel"/>
    <w:tmpl w:val="C546C32A"/>
    <w:lvl w:ilvl="0" w:tplc="08090003">
      <w:start w:val="1"/>
      <w:numFmt w:val="bullet"/>
      <w:lvlText w:val="o"/>
      <w:lvlJc w:val="left"/>
      <w:pPr>
        <w:ind w:left="1301" w:hanging="360"/>
      </w:pPr>
      <w:rPr>
        <w:rFonts w:ascii="Courier New" w:hAnsi="Courier New" w:cs="Courier New" w:hint="default"/>
      </w:rPr>
    </w:lvl>
    <w:lvl w:ilvl="1" w:tplc="08090003">
      <w:start w:val="1"/>
      <w:numFmt w:val="bullet"/>
      <w:lvlText w:val="o"/>
      <w:lvlJc w:val="left"/>
      <w:pPr>
        <w:ind w:left="2021" w:hanging="360"/>
      </w:pPr>
      <w:rPr>
        <w:rFonts w:ascii="Courier New" w:hAnsi="Courier New" w:cs="Courier New" w:hint="default"/>
      </w:rPr>
    </w:lvl>
    <w:lvl w:ilvl="2" w:tplc="08090005">
      <w:start w:val="1"/>
      <w:numFmt w:val="bullet"/>
      <w:lvlText w:val=""/>
      <w:lvlJc w:val="left"/>
      <w:pPr>
        <w:ind w:left="2741" w:hanging="360"/>
      </w:pPr>
      <w:rPr>
        <w:rFonts w:ascii="Wingdings" w:hAnsi="Wingdings" w:hint="default"/>
      </w:rPr>
    </w:lvl>
    <w:lvl w:ilvl="3" w:tplc="08090001">
      <w:start w:val="1"/>
      <w:numFmt w:val="bullet"/>
      <w:lvlText w:val=""/>
      <w:lvlJc w:val="left"/>
      <w:pPr>
        <w:ind w:left="3461" w:hanging="360"/>
      </w:pPr>
      <w:rPr>
        <w:rFonts w:ascii="Symbol" w:hAnsi="Symbol" w:hint="default"/>
      </w:rPr>
    </w:lvl>
    <w:lvl w:ilvl="4" w:tplc="08090003">
      <w:start w:val="1"/>
      <w:numFmt w:val="bullet"/>
      <w:lvlText w:val="o"/>
      <w:lvlJc w:val="left"/>
      <w:pPr>
        <w:ind w:left="4181" w:hanging="360"/>
      </w:pPr>
      <w:rPr>
        <w:rFonts w:ascii="Courier New" w:hAnsi="Courier New" w:cs="Courier New" w:hint="default"/>
      </w:rPr>
    </w:lvl>
    <w:lvl w:ilvl="5" w:tplc="08090005">
      <w:start w:val="1"/>
      <w:numFmt w:val="bullet"/>
      <w:lvlText w:val=""/>
      <w:lvlJc w:val="left"/>
      <w:pPr>
        <w:ind w:left="4901" w:hanging="360"/>
      </w:pPr>
      <w:rPr>
        <w:rFonts w:ascii="Wingdings" w:hAnsi="Wingdings" w:hint="default"/>
      </w:rPr>
    </w:lvl>
    <w:lvl w:ilvl="6" w:tplc="08090001">
      <w:start w:val="1"/>
      <w:numFmt w:val="bullet"/>
      <w:lvlText w:val=""/>
      <w:lvlJc w:val="left"/>
      <w:pPr>
        <w:ind w:left="5621" w:hanging="360"/>
      </w:pPr>
      <w:rPr>
        <w:rFonts w:ascii="Symbol" w:hAnsi="Symbol" w:hint="default"/>
      </w:rPr>
    </w:lvl>
    <w:lvl w:ilvl="7" w:tplc="08090003">
      <w:start w:val="1"/>
      <w:numFmt w:val="bullet"/>
      <w:lvlText w:val="o"/>
      <w:lvlJc w:val="left"/>
      <w:pPr>
        <w:ind w:left="6341" w:hanging="360"/>
      </w:pPr>
      <w:rPr>
        <w:rFonts w:ascii="Courier New" w:hAnsi="Courier New" w:cs="Courier New" w:hint="default"/>
      </w:rPr>
    </w:lvl>
    <w:lvl w:ilvl="8" w:tplc="08090005">
      <w:start w:val="1"/>
      <w:numFmt w:val="bullet"/>
      <w:lvlText w:val=""/>
      <w:lvlJc w:val="left"/>
      <w:pPr>
        <w:ind w:left="7061" w:hanging="360"/>
      </w:pPr>
      <w:rPr>
        <w:rFonts w:ascii="Wingdings" w:hAnsi="Wingdings" w:hint="default"/>
      </w:rPr>
    </w:lvl>
  </w:abstractNum>
  <w:abstractNum w:abstractNumId="12" w15:restartNumberingAfterBreak="0">
    <w:nsid w:val="30C1285F"/>
    <w:multiLevelType w:val="hybridMultilevel"/>
    <w:tmpl w:val="00E00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C94349"/>
    <w:multiLevelType w:val="hybridMultilevel"/>
    <w:tmpl w:val="174E6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80A48"/>
    <w:multiLevelType w:val="hybridMultilevel"/>
    <w:tmpl w:val="2762470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5"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B765A"/>
    <w:multiLevelType w:val="hybridMultilevel"/>
    <w:tmpl w:val="44DADB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483760"/>
    <w:multiLevelType w:val="hybridMultilevel"/>
    <w:tmpl w:val="43CC6964"/>
    <w:lvl w:ilvl="0" w:tplc="08090001">
      <w:start w:val="1"/>
      <w:numFmt w:val="bullet"/>
      <w:lvlText w:val=""/>
      <w:lvlJc w:val="left"/>
      <w:pPr>
        <w:ind w:left="442" w:hanging="360"/>
      </w:pPr>
      <w:rPr>
        <w:rFonts w:ascii="Symbol" w:hAnsi="Symbol" w:hint="default"/>
      </w:rPr>
    </w:lvl>
    <w:lvl w:ilvl="1" w:tplc="08090003" w:tentative="1">
      <w:start w:val="1"/>
      <w:numFmt w:val="bullet"/>
      <w:lvlText w:val="o"/>
      <w:lvlJc w:val="left"/>
      <w:pPr>
        <w:ind w:left="1162" w:hanging="360"/>
      </w:pPr>
      <w:rPr>
        <w:rFonts w:ascii="Courier New" w:hAnsi="Courier New" w:cs="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cs="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cs="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18" w15:restartNumberingAfterBreak="0">
    <w:nsid w:val="48F93D61"/>
    <w:multiLevelType w:val="hybridMultilevel"/>
    <w:tmpl w:val="CB2E22BE"/>
    <w:lvl w:ilvl="0" w:tplc="08090003">
      <w:start w:val="1"/>
      <w:numFmt w:val="bullet"/>
      <w:lvlText w:val="o"/>
      <w:lvlJc w:val="left"/>
      <w:pPr>
        <w:ind w:left="1301" w:hanging="360"/>
      </w:pPr>
      <w:rPr>
        <w:rFonts w:ascii="Courier New" w:hAnsi="Courier New" w:cs="Courier New" w:hint="default"/>
      </w:rPr>
    </w:lvl>
    <w:lvl w:ilvl="1" w:tplc="08090003">
      <w:start w:val="1"/>
      <w:numFmt w:val="bullet"/>
      <w:lvlText w:val="o"/>
      <w:lvlJc w:val="left"/>
      <w:pPr>
        <w:ind w:left="2021" w:hanging="360"/>
      </w:pPr>
      <w:rPr>
        <w:rFonts w:ascii="Courier New" w:hAnsi="Courier New" w:cs="Courier New" w:hint="default"/>
      </w:rPr>
    </w:lvl>
    <w:lvl w:ilvl="2" w:tplc="08090005">
      <w:start w:val="1"/>
      <w:numFmt w:val="bullet"/>
      <w:lvlText w:val=""/>
      <w:lvlJc w:val="left"/>
      <w:pPr>
        <w:ind w:left="2741" w:hanging="360"/>
      </w:pPr>
      <w:rPr>
        <w:rFonts w:ascii="Wingdings" w:hAnsi="Wingdings" w:hint="default"/>
      </w:rPr>
    </w:lvl>
    <w:lvl w:ilvl="3" w:tplc="08090001">
      <w:start w:val="1"/>
      <w:numFmt w:val="bullet"/>
      <w:lvlText w:val=""/>
      <w:lvlJc w:val="left"/>
      <w:pPr>
        <w:ind w:left="3461" w:hanging="360"/>
      </w:pPr>
      <w:rPr>
        <w:rFonts w:ascii="Symbol" w:hAnsi="Symbol" w:hint="default"/>
      </w:rPr>
    </w:lvl>
    <w:lvl w:ilvl="4" w:tplc="08090003">
      <w:start w:val="1"/>
      <w:numFmt w:val="bullet"/>
      <w:lvlText w:val="o"/>
      <w:lvlJc w:val="left"/>
      <w:pPr>
        <w:ind w:left="4181" w:hanging="360"/>
      </w:pPr>
      <w:rPr>
        <w:rFonts w:ascii="Courier New" w:hAnsi="Courier New" w:cs="Courier New" w:hint="default"/>
      </w:rPr>
    </w:lvl>
    <w:lvl w:ilvl="5" w:tplc="08090005">
      <w:start w:val="1"/>
      <w:numFmt w:val="bullet"/>
      <w:lvlText w:val=""/>
      <w:lvlJc w:val="left"/>
      <w:pPr>
        <w:ind w:left="4901" w:hanging="360"/>
      </w:pPr>
      <w:rPr>
        <w:rFonts w:ascii="Wingdings" w:hAnsi="Wingdings" w:hint="default"/>
      </w:rPr>
    </w:lvl>
    <w:lvl w:ilvl="6" w:tplc="08090001">
      <w:start w:val="1"/>
      <w:numFmt w:val="bullet"/>
      <w:lvlText w:val=""/>
      <w:lvlJc w:val="left"/>
      <w:pPr>
        <w:ind w:left="5621" w:hanging="360"/>
      </w:pPr>
      <w:rPr>
        <w:rFonts w:ascii="Symbol" w:hAnsi="Symbol" w:hint="default"/>
      </w:rPr>
    </w:lvl>
    <w:lvl w:ilvl="7" w:tplc="08090003">
      <w:start w:val="1"/>
      <w:numFmt w:val="bullet"/>
      <w:lvlText w:val="o"/>
      <w:lvlJc w:val="left"/>
      <w:pPr>
        <w:ind w:left="6341" w:hanging="360"/>
      </w:pPr>
      <w:rPr>
        <w:rFonts w:ascii="Courier New" w:hAnsi="Courier New" w:cs="Courier New" w:hint="default"/>
      </w:rPr>
    </w:lvl>
    <w:lvl w:ilvl="8" w:tplc="08090005">
      <w:start w:val="1"/>
      <w:numFmt w:val="bullet"/>
      <w:lvlText w:val=""/>
      <w:lvlJc w:val="left"/>
      <w:pPr>
        <w:ind w:left="7061" w:hanging="360"/>
      </w:pPr>
      <w:rPr>
        <w:rFonts w:ascii="Wingdings" w:hAnsi="Wingdings" w:hint="default"/>
      </w:rPr>
    </w:lvl>
  </w:abstractNum>
  <w:abstractNum w:abstractNumId="19" w15:restartNumberingAfterBreak="0">
    <w:nsid w:val="581C7B79"/>
    <w:multiLevelType w:val="hybridMultilevel"/>
    <w:tmpl w:val="57CA6278"/>
    <w:lvl w:ilvl="0" w:tplc="08090001">
      <w:start w:val="1"/>
      <w:numFmt w:val="bullet"/>
      <w:lvlText w:val=""/>
      <w:lvlJc w:val="left"/>
      <w:pPr>
        <w:ind w:left="1301" w:hanging="360"/>
      </w:pPr>
      <w:rPr>
        <w:rFonts w:ascii="Symbol" w:hAnsi="Symbol" w:hint="default"/>
      </w:rPr>
    </w:lvl>
    <w:lvl w:ilvl="1" w:tplc="08090003">
      <w:start w:val="1"/>
      <w:numFmt w:val="bullet"/>
      <w:lvlText w:val="o"/>
      <w:lvlJc w:val="left"/>
      <w:pPr>
        <w:ind w:left="2021" w:hanging="360"/>
      </w:pPr>
      <w:rPr>
        <w:rFonts w:ascii="Courier New" w:hAnsi="Courier New" w:cs="Courier New" w:hint="default"/>
      </w:rPr>
    </w:lvl>
    <w:lvl w:ilvl="2" w:tplc="08090005">
      <w:start w:val="1"/>
      <w:numFmt w:val="bullet"/>
      <w:lvlText w:val=""/>
      <w:lvlJc w:val="left"/>
      <w:pPr>
        <w:ind w:left="2741" w:hanging="360"/>
      </w:pPr>
      <w:rPr>
        <w:rFonts w:ascii="Wingdings" w:hAnsi="Wingdings" w:hint="default"/>
      </w:rPr>
    </w:lvl>
    <w:lvl w:ilvl="3" w:tplc="08090001">
      <w:start w:val="1"/>
      <w:numFmt w:val="bullet"/>
      <w:lvlText w:val=""/>
      <w:lvlJc w:val="left"/>
      <w:pPr>
        <w:ind w:left="3461" w:hanging="360"/>
      </w:pPr>
      <w:rPr>
        <w:rFonts w:ascii="Symbol" w:hAnsi="Symbol" w:hint="default"/>
      </w:rPr>
    </w:lvl>
    <w:lvl w:ilvl="4" w:tplc="08090003">
      <w:start w:val="1"/>
      <w:numFmt w:val="bullet"/>
      <w:lvlText w:val="o"/>
      <w:lvlJc w:val="left"/>
      <w:pPr>
        <w:ind w:left="4181" w:hanging="360"/>
      </w:pPr>
      <w:rPr>
        <w:rFonts w:ascii="Courier New" w:hAnsi="Courier New" w:cs="Courier New" w:hint="default"/>
      </w:rPr>
    </w:lvl>
    <w:lvl w:ilvl="5" w:tplc="08090005">
      <w:start w:val="1"/>
      <w:numFmt w:val="bullet"/>
      <w:lvlText w:val=""/>
      <w:lvlJc w:val="left"/>
      <w:pPr>
        <w:ind w:left="4901" w:hanging="360"/>
      </w:pPr>
      <w:rPr>
        <w:rFonts w:ascii="Wingdings" w:hAnsi="Wingdings" w:hint="default"/>
      </w:rPr>
    </w:lvl>
    <w:lvl w:ilvl="6" w:tplc="08090001">
      <w:start w:val="1"/>
      <w:numFmt w:val="bullet"/>
      <w:lvlText w:val=""/>
      <w:lvlJc w:val="left"/>
      <w:pPr>
        <w:ind w:left="5621" w:hanging="360"/>
      </w:pPr>
      <w:rPr>
        <w:rFonts w:ascii="Symbol" w:hAnsi="Symbol" w:hint="default"/>
      </w:rPr>
    </w:lvl>
    <w:lvl w:ilvl="7" w:tplc="08090003">
      <w:start w:val="1"/>
      <w:numFmt w:val="bullet"/>
      <w:lvlText w:val="o"/>
      <w:lvlJc w:val="left"/>
      <w:pPr>
        <w:ind w:left="6341" w:hanging="360"/>
      </w:pPr>
      <w:rPr>
        <w:rFonts w:ascii="Courier New" w:hAnsi="Courier New" w:cs="Courier New" w:hint="default"/>
      </w:rPr>
    </w:lvl>
    <w:lvl w:ilvl="8" w:tplc="08090005">
      <w:start w:val="1"/>
      <w:numFmt w:val="bullet"/>
      <w:lvlText w:val=""/>
      <w:lvlJc w:val="left"/>
      <w:pPr>
        <w:ind w:left="7061" w:hanging="360"/>
      </w:pPr>
      <w:rPr>
        <w:rFonts w:ascii="Wingdings" w:hAnsi="Wingdings" w:hint="default"/>
      </w:rPr>
    </w:lvl>
  </w:abstractNum>
  <w:abstractNum w:abstractNumId="20" w15:restartNumberingAfterBreak="0">
    <w:nsid w:val="5DD91060"/>
    <w:multiLevelType w:val="hybridMultilevel"/>
    <w:tmpl w:val="C7CC5178"/>
    <w:lvl w:ilvl="0" w:tplc="0809000B">
      <w:start w:val="1"/>
      <w:numFmt w:val="bullet"/>
      <w:lvlText w:val=""/>
      <w:lvlJc w:val="left"/>
      <w:pPr>
        <w:ind w:left="442" w:hanging="360"/>
      </w:pPr>
      <w:rPr>
        <w:rFonts w:ascii="Wingdings" w:hAnsi="Wingdings" w:hint="default"/>
      </w:rPr>
    </w:lvl>
    <w:lvl w:ilvl="1" w:tplc="08090003" w:tentative="1">
      <w:start w:val="1"/>
      <w:numFmt w:val="bullet"/>
      <w:lvlText w:val="o"/>
      <w:lvlJc w:val="left"/>
      <w:pPr>
        <w:ind w:left="1162" w:hanging="360"/>
      </w:pPr>
      <w:rPr>
        <w:rFonts w:ascii="Courier New" w:hAnsi="Courier New" w:cs="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cs="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cs="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21" w15:restartNumberingAfterBreak="0">
    <w:nsid w:val="5E5A5CEF"/>
    <w:multiLevelType w:val="hybridMultilevel"/>
    <w:tmpl w:val="2392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532DF"/>
    <w:multiLevelType w:val="hybridMultilevel"/>
    <w:tmpl w:val="9F0C2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90503"/>
    <w:multiLevelType w:val="hybridMultilevel"/>
    <w:tmpl w:val="FF589DC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D43764"/>
    <w:multiLevelType w:val="hybridMultilevel"/>
    <w:tmpl w:val="6BB22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F6151"/>
    <w:multiLevelType w:val="hybridMultilevel"/>
    <w:tmpl w:val="5D30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3"/>
  </w:num>
  <w:num w:numId="4">
    <w:abstractNumId w:val="6"/>
  </w:num>
  <w:num w:numId="5">
    <w:abstractNumId w:val="16"/>
  </w:num>
  <w:num w:numId="6">
    <w:abstractNumId w:val="4"/>
  </w:num>
  <w:num w:numId="7">
    <w:abstractNumId w:val="12"/>
  </w:num>
  <w:num w:numId="8">
    <w:abstractNumId w:val="9"/>
  </w:num>
  <w:num w:numId="9">
    <w:abstractNumId w:val="20"/>
  </w:num>
  <w:num w:numId="10">
    <w:abstractNumId w:val="17"/>
  </w:num>
  <w:num w:numId="11">
    <w:abstractNumId w:val="14"/>
  </w:num>
  <w:num w:numId="12">
    <w:abstractNumId w:val="5"/>
  </w:num>
  <w:num w:numId="13">
    <w:abstractNumId w:val="22"/>
  </w:num>
  <w:num w:numId="14">
    <w:abstractNumId w:val="23"/>
  </w:num>
  <w:num w:numId="15">
    <w:abstractNumId w:val="25"/>
  </w:num>
  <w:num w:numId="16">
    <w:abstractNumId w:val="19"/>
  </w:num>
  <w:num w:numId="17">
    <w:abstractNumId w:val="7"/>
  </w:num>
  <w:num w:numId="18">
    <w:abstractNumId w:val="18"/>
  </w:num>
  <w:num w:numId="19">
    <w:abstractNumId w:val="11"/>
  </w:num>
  <w:num w:numId="20">
    <w:abstractNumId w:val="8"/>
  </w:num>
  <w:num w:numId="21">
    <w:abstractNumId w:val="1"/>
  </w:num>
  <w:num w:numId="22">
    <w:abstractNumId w:val="2"/>
  </w:num>
  <w:num w:numId="23">
    <w:abstractNumId w:val="3"/>
  </w:num>
  <w:num w:numId="24">
    <w:abstractNumId w:val="21"/>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A4C"/>
    <w:rsid w:val="00046D46"/>
    <w:rsid w:val="000508F0"/>
    <w:rsid w:val="00097D2F"/>
    <w:rsid w:val="001079DE"/>
    <w:rsid w:val="00172FB0"/>
    <w:rsid w:val="00182402"/>
    <w:rsid w:val="001D1304"/>
    <w:rsid w:val="001D54B3"/>
    <w:rsid w:val="001E6448"/>
    <w:rsid w:val="00373E29"/>
    <w:rsid w:val="00442A4C"/>
    <w:rsid w:val="00451E6E"/>
    <w:rsid w:val="004B3DEC"/>
    <w:rsid w:val="004C2F62"/>
    <w:rsid w:val="005325F1"/>
    <w:rsid w:val="005D3753"/>
    <w:rsid w:val="00635752"/>
    <w:rsid w:val="0064404C"/>
    <w:rsid w:val="0064708A"/>
    <w:rsid w:val="006D3802"/>
    <w:rsid w:val="007B700F"/>
    <w:rsid w:val="008236D6"/>
    <w:rsid w:val="00836228"/>
    <w:rsid w:val="008702F4"/>
    <w:rsid w:val="008A24BE"/>
    <w:rsid w:val="008A2868"/>
    <w:rsid w:val="008F2A65"/>
    <w:rsid w:val="00975DB7"/>
    <w:rsid w:val="00A251A8"/>
    <w:rsid w:val="00A5544B"/>
    <w:rsid w:val="00AC6B85"/>
    <w:rsid w:val="00C16789"/>
    <w:rsid w:val="00C24E5E"/>
    <w:rsid w:val="00C65FE2"/>
    <w:rsid w:val="00CC716D"/>
    <w:rsid w:val="00D63C38"/>
    <w:rsid w:val="00E941EF"/>
    <w:rsid w:val="00EA4E3F"/>
    <w:rsid w:val="00EC295B"/>
    <w:rsid w:val="00EC602B"/>
    <w:rsid w:val="00F01FFB"/>
    <w:rsid w:val="00F25083"/>
    <w:rsid w:val="00F4657F"/>
    <w:rsid w:val="00FC2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985F6F"/>
  <w15:docId w15:val="{BEFD5B1E-466F-4DE2-80B0-6C1F7FF9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442A4C"/>
    <w:pPr>
      <w:spacing w:after="0" w:line="240" w:lineRule="auto"/>
    </w:pPr>
    <w:rPr>
      <w:rFonts w:ascii="Arial" w:eastAsia="Calibri" w:hAnsi="Arial" w:cs="Times New Roman"/>
      <w:szCs w:val="24"/>
    </w:rPr>
  </w:style>
  <w:style w:type="paragraph" w:styleId="Heading1">
    <w:name w:val="heading 1"/>
    <w:basedOn w:val="Normal"/>
    <w:next w:val="Normal"/>
    <w:link w:val="Heading1Char"/>
    <w:uiPriority w:val="9"/>
    <w:qFormat/>
    <w:rsid w:val="00442A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qFormat/>
    <w:rsid w:val="00442A4C"/>
    <w:pPr>
      <w:spacing w:after="240" w:line="400" w:lineRule="atLeast"/>
      <w:contextualSpacing/>
      <w:outlineLvl w:val="1"/>
    </w:pPr>
    <w:rPr>
      <w:rFonts w:ascii="Arial" w:hAnsi="Arial"/>
      <w:b/>
      <w:iCs/>
      <w:color w:val="32315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qFormat/>
    <w:rsid w:val="00442A4C"/>
    <w:pPr>
      <w:spacing w:after="240" w:line="300" w:lineRule="atLeast"/>
      <w:ind w:left="227" w:hanging="227"/>
    </w:pPr>
    <w:rPr>
      <w:sz w:val="20"/>
      <w:szCs w:val="20"/>
    </w:rPr>
  </w:style>
  <w:style w:type="character" w:customStyle="1" w:styleId="FootnoteTextChar">
    <w:name w:val="Footnote Text Char"/>
    <w:basedOn w:val="DefaultParagraphFont"/>
    <w:link w:val="FootnoteText"/>
    <w:rsid w:val="00442A4C"/>
    <w:rPr>
      <w:rFonts w:ascii="Arial" w:eastAsia="Calibri" w:hAnsi="Arial" w:cs="Times New Roman"/>
      <w:sz w:val="20"/>
      <w:szCs w:val="20"/>
    </w:rPr>
  </w:style>
  <w:style w:type="character" w:styleId="FootnoteReference">
    <w:name w:val="footnote reference"/>
    <w:basedOn w:val="DefaultParagraphFont"/>
    <w:rsid w:val="00442A4C"/>
    <w:rPr>
      <w:vertAlign w:val="superscript"/>
    </w:rPr>
  </w:style>
  <w:style w:type="table" w:styleId="TableGrid">
    <w:name w:val="Table Grid"/>
    <w:basedOn w:val="TableNormal"/>
    <w:rsid w:val="00442A4C"/>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442A4C"/>
    <w:pPr>
      <w:numPr>
        <w:numId w:val="1"/>
      </w:numPr>
      <w:spacing w:after="240" w:line="288" w:lineRule="auto"/>
      <w:contextualSpacing/>
    </w:pPr>
    <w:rPr>
      <w:rFonts w:asciiTheme="minorHAnsi" w:eastAsia="Times New Roman" w:hAnsiTheme="minorHAnsi"/>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442A4C"/>
    <w:rPr>
      <w:rFonts w:eastAsia="Times New Roman" w:cs="Times New Roman"/>
      <w:szCs w:val="24"/>
      <w:lang w:eastAsia="en-GB"/>
    </w:rPr>
  </w:style>
  <w:style w:type="paragraph" w:customStyle="1" w:styleId="RFbullet">
    <w:name w:val="RF bullet"/>
    <w:basedOn w:val="Normal"/>
    <w:autoRedefine/>
    <w:qFormat/>
    <w:rsid w:val="004B3DEC"/>
    <w:pPr>
      <w:spacing w:after="120"/>
      <w:ind w:left="79"/>
      <w:jc w:val="both"/>
    </w:pPr>
    <w:rPr>
      <w:rFonts w:cs="Arial"/>
    </w:rPr>
  </w:style>
  <w:style w:type="paragraph" w:styleId="BodyText">
    <w:name w:val="Body Text"/>
    <w:basedOn w:val="Normal"/>
    <w:link w:val="BodyTextChar"/>
    <w:uiPriority w:val="99"/>
    <w:semiHidden/>
    <w:unhideWhenUsed/>
    <w:rsid w:val="00442A4C"/>
    <w:pPr>
      <w:spacing w:after="120"/>
    </w:pPr>
  </w:style>
  <w:style w:type="character" w:customStyle="1" w:styleId="BodyTextChar">
    <w:name w:val="Body Text Char"/>
    <w:basedOn w:val="DefaultParagraphFont"/>
    <w:link w:val="BodyText"/>
    <w:uiPriority w:val="99"/>
    <w:semiHidden/>
    <w:rsid w:val="00442A4C"/>
    <w:rPr>
      <w:rFonts w:ascii="Arial" w:eastAsia="Calibri" w:hAnsi="Arial" w:cs="Times New Roman"/>
      <w:szCs w:val="24"/>
    </w:rPr>
  </w:style>
  <w:style w:type="character" w:customStyle="1" w:styleId="Heading2Char">
    <w:name w:val="Heading 2 Char"/>
    <w:basedOn w:val="DefaultParagraphFont"/>
    <w:link w:val="Heading2"/>
    <w:rsid w:val="00442A4C"/>
    <w:rPr>
      <w:rFonts w:ascii="Arial" w:eastAsiaTheme="majorEastAsia" w:hAnsi="Arial" w:cstheme="majorBidi"/>
      <w:b/>
      <w:iCs/>
      <w:color w:val="323157"/>
      <w:sz w:val="28"/>
      <w:szCs w:val="28"/>
    </w:rPr>
  </w:style>
  <w:style w:type="character" w:customStyle="1" w:styleId="Heading1Char">
    <w:name w:val="Heading 1 Char"/>
    <w:basedOn w:val="DefaultParagraphFont"/>
    <w:link w:val="Heading1"/>
    <w:uiPriority w:val="9"/>
    <w:rsid w:val="00442A4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73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29"/>
    <w:rPr>
      <w:rFonts w:ascii="Segoe UI" w:eastAsia="Calibri" w:hAnsi="Segoe UI" w:cs="Segoe UI"/>
      <w:sz w:val="18"/>
      <w:szCs w:val="18"/>
    </w:rPr>
  </w:style>
  <w:style w:type="character" w:styleId="Hyperlink">
    <w:name w:val="Hyperlink"/>
    <w:basedOn w:val="DefaultParagraphFont"/>
    <w:uiPriority w:val="99"/>
    <w:unhideWhenUsed/>
    <w:rsid w:val="00EA4E3F"/>
    <w:rPr>
      <w:color w:val="0563C1" w:themeColor="hyperlink"/>
      <w:u w:val="single"/>
    </w:rPr>
  </w:style>
  <w:style w:type="character" w:customStyle="1" w:styleId="UnresolvedMention1">
    <w:name w:val="Unresolved Mention1"/>
    <w:basedOn w:val="DefaultParagraphFont"/>
    <w:uiPriority w:val="99"/>
    <w:semiHidden/>
    <w:unhideWhenUsed/>
    <w:rsid w:val="00EA4E3F"/>
    <w:rPr>
      <w:color w:val="808080"/>
      <w:shd w:val="clear" w:color="auto" w:fill="E6E6E6"/>
    </w:rPr>
  </w:style>
  <w:style w:type="character" w:styleId="UnresolvedMention">
    <w:name w:val="Unresolved Mention"/>
    <w:basedOn w:val="DefaultParagraphFont"/>
    <w:uiPriority w:val="99"/>
    <w:semiHidden/>
    <w:unhideWhenUsed/>
    <w:rsid w:val="00A251A8"/>
    <w:rPr>
      <w:color w:val="808080"/>
      <w:shd w:val="clear" w:color="auto" w:fill="E6E6E6"/>
    </w:rPr>
  </w:style>
  <w:style w:type="paragraph" w:styleId="Header">
    <w:name w:val="header"/>
    <w:basedOn w:val="Normal"/>
    <w:link w:val="HeaderChar"/>
    <w:uiPriority w:val="99"/>
    <w:unhideWhenUsed/>
    <w:rsid w:val="00C24E5E"/>
    <w:pPr>
      <w:tabs>
        <w:tab w:val="center" w:pos="4680"/>
        <w:tab w:val="right" w:pos="9360"/>
      </w:tabs>
    </w:pPr>
  </w:style>
  <w:style w:type="character" w:customStyle="1" w:styleId="HeaderChar">
    <w:name w:val="Header Char"/>
    <w:basedOn w:val="DefaultParagraphFont"/>
    <w:link w:val="Header"/>
    <w:uiPriority w:val="99"/>
    <w:rsid w:val="00C24E5E"/>
    <w:rPr>
      <w:rFonts w:ascii="Arial" w:eastAsia="Calibri" w:hAnsi="Arial" w:cs="Times New Roman"/>
      <w:szCs w:val="24"/>
    </w:rPr>
  </w:style>
  <w:style w:type="paragraph" w:styleId="Footer">
    <w:name w:val="footer"/>
    <w:basedOn w:val="Normal"/>
    <w:link w:val="FooterChar"/>
    <w:uiPriority w:val="99"/>
    <w:unhideWhenUsed/>
    <w:rsid w:val="00C24E5E"/>
    <w:pPr>
      <w:tabs>
        <w:tab w:val="center" w:pos="4680"/>
        <w:tab w:val="right" w:pos="9360"/>
      </w:tabs>
    </w:pPr>
  </w:style>
  <w:style w:type="character" w:customStyle="1" w:styleId="FooterChar">
    <w:name w:val="Footer Char"/>
    <w:basedOn w:val="DefaultParagraphFont"/>
    <w:link w:val="Footer"/>
    <w:uiPriority w:val="99"/>
    <w:rsid w:val="00C24E5E"/>
    <w:rPr>
      <w:rFonts w:ascii="Arial" w:eastAsia="Calibri"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queens.ac.uk/study/student-policies" TargetMode="External"/><Relationship Id="rId2" Type="http://schemas.openxmlformats.org/officeDocument/2006/relationships/hyperlink" Target="https://www.dur.ac.uk/common.awards/regulations/" TargetMode="External"/><Relationship Id="rId1" Type="http://schemas.openxmlformats.org/officeDocument/2006/relationships/hyperlink" Target="http://www.qaa.ac.uk/en/ReviewsAndReports/Documents/The%20Queen's%20Foundation%20for%20Ecumenical%20Theological%20Education/The-Queen's-Foundation-for-Ecumenical-Theological-Education-EO-AM-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E696-A755-4CD1-80FD-B886C91A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Onion</dc:creator>
  <cp:keywords/>
  <dc:description/>
  <cp:lastModifiedBy>David Allen</cp:lastModifiedBy>
  <cp:revision>17</cp:revision>
  <cp:lastPrinted>2018-05-12T09:15:00Z</cp:lastPrinted>
  <dcterms:created xsi:type="dcterms:W3CDTF">2018-05-16T12:53:00Z</dcterms:created>
  <dcterms:modified xsi:type="dcterms:W3CDTF">2018-05-23T09:11:00Z</dcterms:modified>
</cp:coreProperties>
</file>